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B1B9A" w14:textId="77777777" w:rsidR="008247B4" w:rsidRDefault="008247B4">
      <w:pPr>
        <w:pStyle w:val="15"/>
        <w:jc w:val="center"/>
        <w:rPr>
          <w:rFonts w:ascii="Arial" w:hAnsi="Arial"/>
          <w:b/>
          <w:sz w:val="52"/>
        </w:rPr>
      </w:pPr>
      <w:bookmarkStart w:id="0" w:name="OLE_LINK6"/>
      <w:bookmarkStart w:id="1" w:name="OLE_LINK7"/>
      <w:bookmarkStart w:id="2" w:name="OLE_LINK8"/>
      <w:bookmarkStart w:id="3" w:name="_GoBack"/>
      <w:bookmarkEnd w:id="3"/>
    </w:p>
    <w:p w14:paraId="20EE8963" w14:textId="77777777" w:rsidR="008247B4" w:rsidRDefault="008247B4">
      <w:pPr>
        <w:pStyle w:val="15"/>
        <w:jc w:val="center"/>
        <w:rPr>
          <w:rFonts w:ascii="Arial" w:hAnsi="Arial"/>
          <w:b/>
          <w:sz w:val="52"/>
        </w:rPr>
      </w:pPr>
    </w:p>
    <w:p w14:paraId="7A195568" w14:textId="77777777" w:rsidR="008247B4" w:rsidRDefault="008247B4">
      <w:pPr>
        <w:pStyle w:val="15"/>
        <w:jc w:val="center"/>
        <w:rPr>
          <w:rFonts w:ascii="Arial" w:hAnsi="Arial"/>
          <w:b/>
          <w:sz w:val="52"/>
        </w:rPr>
      </w:pPr>
    </w:p>
    <w:p w14:paraId="0819E945" w14:textId="633D308B" w:rsidR="00416F77" w:rsidRDefault="00000C48" w:rsidP="00416F77">
      <w:pPr>
        <w:pStyle w:val="15"/>
        <w:spacing w:line="360" w:lineRule="auto"/>
        <w:jc w:val="center"/>
        <w:rPr>
          <w:rFonts w:ascii="Arial" w:hAnsi="Arial"/>
          <w:b/>
          <w:color w:val="000000"/>
          <w:sz w:val="44"/>
          <w:szCs w:val="20"/>
        </w:rPr>
      </w:pPr>
      <w:r>
        <w:rPr>
          <w:rFonts w:ascii="Arial" w:hAnsi="Arial" w:hint="eastAsia"/>
          <w:b/>
          <w:color w:val="000000"/>
          <w:sz w:val="44"/>
          <w:szCs w:val="20"/>
        </w:rPr>
        <w:t>嘉实</w:t>
      </w:r>
      <w:r w:rsidR="0000296A">
        <w:rPr>
          <w:rFonts w:ascii="Arial" w:hAnsi="Arial" w:hint="eastAsia"/>
          <w:b/>
          <w:color w:val="000000"/>
          <w:sz w:val="44"/>
          <w:szCs w:val="20"/>
        </w:rPr>
        <w:t>恒指港股</w:t>
      </w:r>
      <w:proofErr w:type="gramStart"/>
      <w:r w:rsidR="0000296A">
        <w:rPr>
          <w:rFonts w:ascii="Arial" w:hAnsi="Arial" w:hint="eastAsia"/>
          <w:b/>
          <w:color w:val="000000"/>
          <w:sz w:val="44"/>
          <w:szCs w:val="20"/>
        </w:rPr>
        <w:t>通</w:t>
      </w:r>
      <w:r>
        <w:rPr>
          <w:rFonts w:ascii="Arial" w:hAnsi="Arial" w:hint="eastAsia"/>
          <w:b/>
          <w:color w:val="000000"/>
          <w:sz w:val="44"/>
          <w:szCs w:val="20"/>
        </w:rPr>
        <w:t>交易</w:t>
      </w:r>
      <w:proofErr w:type="gramEnd"/>
      <w:r>
        <w:rPr>
          <w:rFonts w:ascii="Arial" w:hAnsi="Arial" w:hint="eastAsia"/>
          <w:b/>
          <w:color w:val="000000"/>
          <w:sz w:val="44"/>
          <w:szCs w:val="20"/>
        </w:rPr>
        <w:t>型开放式指数</w:t>
      </w:r>
    </w:p>
    <w:p w14:paraId="38EE6AB2" w14:textId="7036F9CC" w:rsidR="008247B4" w:rsidRDefault="00000C48" w:rsidP="00416F77">
      <w:pPr>
        <w:pStyle w:val="15"/>
        <w:spacing w:line="360" w:lineRule="auto"/>
        <w:jc w:val="center"/>
        <w:rPr>
          <w:rFonts w:ascii="Arial" w:hAnsi="Arial"/>
          <w:b/>
          <w:color w:val="000000"/>
          <w:sz w:val="44"/>
          <w:szCs w:val="20"/>
        </w:rPr>
      </w:pPr>
      <w:r>
        <w:rPr>
          <w:rFonts w:ascii="Arial" w:hAnsi="Arial" w:hint="eastAsia"/>
          <w:b/>
          <w:color w:val="000000"/>
          <w:sz w:val="44"/>
          <w:szCs w:val="20"/>
        </w:rPr>
        <w:t>证券投资基金</w:t>
      </w:r>
    </w:p>
    <w:p w14:paraId="2D800881" w14:textId="24A97CD2" w:rsidR="008247B4" w:rsidRDefault="00CA50F3">
      <w:pPr>
        <w:pStyle w:val="15"/>
        <w:spacing w:line="360" w:lineRule="auto"/>
        <w:jc w:val="center"/>
        <w:rPr>
          <w:rFonts w:ascii="Arial" w:hAnsi="Arial"/>
          <w:b/>
          <w:color w:val="000000"/>
          <w:sz w:val="44"/>
          <w:szCs w:val="20"/>
        </w:rPr>
      </w:pPr>
      <w:r>
        <w:rPr>
          <w:rFonts w:ascii="Arial" w:hAnsi="Arial"/>
          <w:b/>
          <w:color w:val="000000"/>
          <w:sz w:val="44"/>
          <w:szCs w:val="20"/>
        </w:rPr>
        <w:t>托管协议</w:t>
      </w:r>
    </w:p>
    <w:p w14:paraId="23D30E8A" w14:textId="6C9EB2D9" w:rsidR="008247B4" w:rsidRDefault="008247B4">
      <w:pPr>
        <w:pStyle w:val="15"/>
        <w:spacing w:line="360" w:lineRule="auto"/>
        <w:jc w:val="center"/>
        <w:rPr>
          <w:rFonts w:ascii="Arial" w:hAnsi="Arial"/>
          <w:b/>
          <w:color w:val="000000"/>
          <w:sz w:val="44"/>
          <w:szCs w:val="20"/>
        </w:rPr>
      </w:pPr>
    </w:p>
    <w:p w14:paraId="72E17728" w14:textId="77777777" w:rsidR="008247B4" w:rsidRPr="00DF6F17" w:rsidRDefault="008247B4">
      <w:pPr>
        <w:pStyle w:val="15"/>
        <w:jc w:val="center"/>
        <w:rPr>
          <w:rFonts w:ascii="Arial" w:hAnsi="Arial"/>
          <w:b/>
          <w:color w:val="000000"/>
          <w:sz w:val="44"/>
        </w:rPr>
      </w:pPr>
    </w:p>
    <w:p w14:paraId="4EA52E1E" w14:textId="77777777" w:rsidR="008247B4" w:rsidRDefault="008247B4">
      <w:pPr>
        <w:pStyle w:val="15"/>
        <w:jc w:val="center"/>
        <w:rPr>
          <w:rFonts w:ascii="Arial" w:hAnsi="Arial"/>
          <w:b/>
          <w:sz w:val="44"/>
        </w:rPr>
      </w:pPr>
    </w:p>
    <w:p w14:paraId="31E72704" w14:textId="77777777" w:rsidR="008247B4" w:rsidRDefault="008247B4">
      <w:pPr>
        <w:pStyle w:val="15"/>
        <w:jc w:val="center"/>
        <w:rPr>
          <w:rFonts w:ascii="Arial" w:hAnsi="Arial"/>
          <w:b/>
          <w:sz w:val="44"/>
        </w:rPr>
      </w:pPr>
    </w:p>
    <w:p w14:paraId="0BD0906F" w14:textId="77777777" w:rsidR="008247B4" w:rsidRDefault="008247B4">
      <w:pPr>
        <w:pStyle w:val="15"/>
        <w:jc w:val="center"/>
        <w:rPr>
          <w:rFonts w:ascii="Arial" w:hAnsi="Arial"/>
          <w:b/>
          <w:sz w:val="44"/>
        </w:rPr>
      </w:pPr>
    </w:p>
    <w:p w14:paraId="5B41ACD8" w14:textId="77777777" w:rsidR="008247B4" w:rsidRDefault="00CA50F3">
      <w:pPr>
        <w:pStyle w:val="15"/>
        <w:tabs>
          <w:tab w:val="left" w:pos="4836"/>
        </w:tabs>
        <w:jc w:val="left"/>
        <w:rPr>
          <w:rFonts w:ascii="Arial" w:hAnsi="Arial"/>
          <w:b/>
          <w:sz w:val="44"/>
        </w:rPr>
      </w:pPr>
      <w:r>
        <w:rPr>
          <w:rFonts w:ascii="Arial" w:hAnsi="Arial"/>
          <w:b/>
          <w:sz w:val="44"/>
        </w:rPr>
        <w:tab/>
      </w:r>
    </w:p>
    <w:p w14:paraId="0190AEFE" w14:textId="77777777" w:rsidR="008247B4" w:rsidRDefault="008247B4">
      <w:pPr>
        <w:pStyle w:val="15"/>
        <w:tabs>
          <w:tab w:val="left" w:pos="4836"/>
        </w:tabs>
        <w:jc w:val="left"/>
        <w:rPr>
          <w:rFonts w:ascii="Arial" w:hAnsi="Arial"/>
          <w:b/>
          <w:sz w:val="44"/>
        </w:rPr>
      </w:pPr>
    </w:p>
    <w:p w14:paraId="2695F58E" w14:textId="77777777" w:rsidR="008247B4" w:rsidRDefault="008247B4">
      <w:pPr>
        <w:pStyle w:val="15"/>
        <w:tabs>
          <w:tab w:val="left" w:pos="4836"/>
        </w:tabs>
        <w:jc w:val="left"/>
        <w:rPr>
          <w:rFonts w:ascii="Arial" w:hAnsi="Arial"/>
          <w:b/>
          <w:sz w:val="44"/>
        </w:rPr>
      </w:pPr>
    </w:p>
    <w:p w14:paraId="61FA13AA" w14:textId="77777777" w:rsidR="008247B4" w:rsidRDefault="008247B4">
      <w:pPr>
        <w:pStyle w:val="15"/>
        <w:tabs>
          <w:tab w:val="left" w:pos="4836"/>
        </w:tabs>
        <w:jc w:val="left"/>
        <w:rPr>
          <w:rFonts w:ascii="Arial" w:hAnsi="Arial"/>
          <w:b/>
          <w:sz w:val="44"/>
        </w:rPr>
      </w:pPr>
    </w:p>
    <w:p w14:paraId="51D1463F" w14:textId="77777777" w:rsidR="008247B4" w:rsidRDefault="008247B4">
      <w:pPr>
        <w:pStyle w:val="15"/>
        <w:tabs>
          <w:tab w:val="left" w:pos="4836"/>
        </w:tabs>
        <w:jc w:val="left"/>
        <w:rPr>
          <w:rFonts w:ascii="Arial" w:hAnsi="Arial"/>
          <w:b/>
          <w:sz w:val="44"/>
        </w:rPr>
      </w:pPr>
    </w:p>
    <w:p w14:paraId="6480CD2E" w14:textId="77777777" w:rsidR="008247B4" w:rsidRDefault="00CA50F3">
      <w:pPr>
        <w:pStyle w:val="15"/>
        <w:jc w:val="center"/>
        <w:rPr>
          <w:rFonts w:ascii="Arial" w:hAnsi="Arial"/>
          <w:sz w:val="28"/>
          <w:szCs w:val="28"/>
        </w:rPr>
      </w:pPr>
      <w:r>
        <w:rPr>
          <w:rFonts w:ascii="Arial" w:hAnsi="Arial"/>
          <w:sz w:val="28"/>
          <w:szCs w:val="28"/>
        </w:rPr>
        <w:t>基金管理人：嘉</w:t>
      </w:r>
      <w:proofErr w:type="gramStart"/>
      <w:r>
        <w:rPr>
          <w:rFonts w:ascii="Arial" w:hAnsi="Arial"/>
          <w:sz w:val="28"/>
          <w:szCs w:val="28"/>
        </w:rPr>
        <w:t>实基金</w:t>
      </w:r>
      <w:proofErr w:type="gramEnd"/>
      <w:r>
        <w:rPr>
          <w:rFonts w:ascii="Arial" w:hAnsi="Arial"/>
          <w:sz w:val="28"/>
          <w:szCs w:val="28"/>
        </w:rPr>
        <w:t>管理有限公司</w:t>
      </w:r>
    </w:p>
    <w:p w14:paraId="3C4C45F0" w14:textId="3D7C3B7C" w:rsidR="008247B4" w:rsidRDefault="00CA50F3">
      <w:pPr>
        <w:pStyle w:val="15"/>
        <w:jc w:val="center"/>
        <w:rPr>
          <w:rFonts w:ascii="Arial" w:hAnsi="Arial"/>
          <w:sz w:val="28"/>
          <w:szCs w:val="28"/>
        </w:rPr>
      </w:pPr>
      <w:r>
        <w:rPr>
          <w:rFonts w:ascii="Arial" w:hAnsi="Arial"/>
          <w:sz w:val="28"/>
          <w:szCs w:val="28"/>
        </w:rPr>
        <w:t>基金托管人：</w:t>
      </w:r>
      <w:r w:rsidR="0000296A">
        <w:rPr>
          <w:rFonts w:ascii="Arial" w:hAnsi="Arial"/>
          <w:sz w:val="28"/>
          <w:szCs w:val="28"/>
        </w:rPr>
        <w:t>国金证券</w:t>
      </w:r>
      <w:r>
        <w:rPr>
          <w:rFonts w:ascii="Arial" w:hAnsi="Arial"/>
          <w:sz w:val="28"/>
          <w:szCs w:val="28"/>
        </w:rPr>
        <w:t>股份有限公司</w:t>
      </w:r>
    </w:p>
    <w:p w14:paraId="5523D510" w14:textId="15264029" w:rsidR="008247B4" w:rsidRDefault="00CA50F3">
      <w:pPr>
        <w:pStyle w:val="15"/>
        <w:jc w:val="center"/>
        <w:rPr>
          <w:rFonts w:ascii="Arial" w:hAnsi="Arial"/>
          <w:sz w:val="30"/>
          <w:szCs w:val="30"/>
        </w:rPr>
      </w:pPr>
      <w:r>
        <w:rPr>
          <w:rFonts w:ascii="Arial" w:hAnsi="Arial"/>
          <w:sz w:val="28"/>
          <w:szCs w:val="28"/>
        </w:rPr>
        <w:t>二〇二</w:t>
      </w:r>
      <w:r>
        <w:rPr>
          <w:rFonts w:ascii="Arial" w:hAnsi="Arial" w:hint="eastAsia"/>
          <w:sz w:val="28"/>
          <w:szCs w:val="28"/>
        </w:rPr>
        <w:t>五</w:t>
      </w:r>
      <w:r>
        <w:rPr>
          <w:rFonts w:ascii="Arial" w:hAnsi="Arial"/>
          <w:sz w:val="28"/>
          <w:szCs w:val="28"/>
        </w:rPr>
        <w:t>年</w:t>
      </w:r>
      <w:r w:rsidR="008D7D9E">
        <w:rPr>
          <w:rFonts w:ascii="Arial" w:hAnsi="Arial" w:hint="eastAsia"/>
          <w:sz w:val="28"/>
          <w:szCs w:val="28"/>
        </w:rPr>
        <w:t>九</w:t>
      </w:r>
      <w:r>
        <w:rPr>
          <w:rFonts w:ascii="Arial" w:hAnsi="Arial"/>
          <w:sz w:val="28"/>
          <w:szCs w:val="28"/>
        </w:rPr>
        <w:t>月</w:t>
      </w:r>
    </w:p>
    <w:p w14:paraId="5AB1AE96" w14:textId="77777777" w:rsidR="008247B4" w:rsidRDefault="008247B4">
      <w:pPr>
        <w:pStyle w:val="15"/>
        <w:jc w:val="center"/>
        <w:rPr>
          <w:rFonts w:ascii="Arial" w:hAnsi="Arial"/>
          <w:sz w:val="30"/>
          <w:szCs w:val="30"/>
        </w:rPr>
      </w:pPr>
    </w:p>
    <w:p w14:paraId="5E2C8063" w14:textId="77777777" w:rsidR="008247B4" w:rsidRDefault="008247B4">
      <w:pPr>
        <w:pStyle w:val="15"/>
        <w:jc w:val="center"/>
        <w:rPr>
          <w:rFonts w:ascii="Arial" w:hAnsi="Arial"/>
          <w:sz w:val="30"/>
          <w:szCs w:val="30"/>
        </w:rPr>
        <w:sectPr w:rsidR="008247B4">
          <w:headerReference w:type="default" r:id="rId7"/>
          <w:footerReference w:type="default" r:id="rId8"/>
          <w:headerReference w:type="first" r:id="rId9"/>
          <w:footerReference w:type="first" r:id="rId10"/>
          <w:pgSz w:w="11906" w:h="16838"/>
          <w:pgMar w:top="1440" w:right="1800" w:bottom="1440" w:left="1800" w:header="851" w:footer="992" w:gutter="0"/>
          <w:pgNumType w:start="1"/>
          <w:cols w:space="720"/>
          <w:titlePg/>
          <w:docGrid w:type="lines" w:linePitch="312"/>
        </w:sectPr>
      </w:pPr>
    </w:p>
    <w:p w14:paraId="6C464442" w14:textId="77777777" w:rsidR="008247B4" w:rsidRDefault="00CA50F3">
      <w:pPr>
        <w:pStyle w:val="117"/>
        <w:rPr>
          <w:rFonts w:ascii="Arial" w:hAnsi="Arial"/>
          <w:shd w:val="clear" w:color="auto" w:fill="E6E6E6"/>
        </w:rPr>
      </w:pPr>
      <w:r>
        <w:rPr>
          <w:rFonts w:ascii="Arial" w:hAnsi="Arial"/>
        </w:rPr>
        <w:lastRenderedPageBreak/>
        <w:t>目</w:t>
      </w:r>
      <w:r>
        <w:rPr>
          <w:rFonts w:ascii="Arial" w:hAnsi="Arial"/>
        </w:rPr>
        <w:t xml:space="preserve">   </w:t>
      </w:r>
      <w:r>
        <w:rPr>
          <w:rFonts w:ascii="Arial" w:hAnsi="Arial"/>
        </w:rPr>
        <w:t>录</w:t>
      </w:r>
      <w:r>
        <w:rPr>
          <w:rFonts w:ascii="Arial" w:hAnsi="Arial"/>
          <w:shd w:val="clear" w:color="auto" w:fill="E6E6E6"/>
        </w:rPr>
        <w:br/>
      </w:r>
    </w:p>
    <w:p w14:paraId="06EF9525" w14:textId="311B645D" w:rsidR="00416F77" w:rsidRPr="00416F77" w:rsidRDefault="00CA50F3"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r>
        <w:rPr>
          <w:rFonts w:ascii="Arial" w:hAnsi="Arial"/>
          <w:b/>
          <w:caps/>
          <w:sz w:val="21"/>
          <w:szCs w:val="21"/>
        </w:rPr>
        <w:fldChar w:fldCharType="begin"/>
      </w:r>
      <w:r>
        <w:rPr>
          <w:rFonts w:ascii="Arial" w:hAnsi="Arial"/>
          <w:sz w:val="21"/>
          <w:szCs w:val="21"/>
        </w:rPr>
        <w:instrText xml:space="preserve"> TOC \o "1-3" \h \z \u </w:instrText>
      </w:r>
      <w:r>
        <w:rPr>
          <w:rFonts w:ascii="Arial" w:hAnsi="Arial"/>
          <w:b/>
          <w:caps/>
          <w:sz w:val="21"/>
          <w:szCs w:val="21"/>
        </w:rPr>
        <w:fldChar w:fldCharType="separate"/>
      </w:r>
      <w:hyperlink w:anchor="_Toc202171862" w:history="1">
        <w:r w:rsidR="00416F77" w:rsidRPr="00416F77">
          <w:rPr>
            <w:rStyle w:val="af4"/>
            <w:rFonts w:ascii="Arial" w:hAnsi="Arial"/>
            <w:noProof/>
            <w:sz w:val="24"/>
          </w:rPr>
          <w:t>一、托管协议当事人</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_Toc202171862 \h </w:instrText>
        </w:r>
        <w:r w:rsidR="00416F77" w:rsidRPr="00416F77">
          <w:rPr>
            <w:noProof/>
            <w:webHidden/>
            <w:sz w:val="24"/>
          </w:rPr>
        </w:r>
        <w:r w:rsidR="00416F77" w:rsidRPr="00416F77">
          <w:rPr>
            <w:noProof/>
            <w:webHidden/>
            <w:sz w:val="24"/>
          </w:rPr>
          <w:fldChar w:fldCharType="separate"/>
        </w:r>
        <w:r w:rsidR="00502E97">
          <w:rPr>
            <w:noProof/>
            <w:webHidden/>
            <w:sz w:val="24"/>
          </w:rPr>
          <w:t>1</w:t>
        </w:r>
        <w:r w:rsidR="00416F77" w:rsidRPr="00416F77">
          <w:rPr>
            <w:noProof/>
            <w:webHidden/>
            <w:sz w:val="24"/>
          </w:rPr>
          <w:fldChar w:fldCharType="end"/>
        </w:r>
      </w:hyperlink>
    </w:p>
    <w:p w14:paraId="3039610B" w14:textId="3C45AAD5"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63" w:history="1">
        <w:r w:rsidR="00416F77" w:rsidRPr="00416F77">
          <w:rPr>
            <w:rStyle w:val="af4"/>
            <w:rFonts w:ascii="Arial" w:hAnsi="Arial"/>
            <w:noProof/>
            <w:sz w:val="24"/>
          </w:rPr>
          <w:t>二、托管协议的依据、目的、原则和解释</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_Toc202171863 \h </w:instrText>
        </w:r>
        <w:r w:rsidR="00416F77" w:rsidRPr="00416F77">
          <w:rPr>
            <w:noProof/>
            <w:webHidden/>
            <w:sz w:val="24"/>
          </w:rPr>
        </w:r>
        <w:r w:rsidR="00416F77" w:rsidRPr="00416F77">
          <w:rPr>
            <w:noProof/>
            <w:webHidden/>
            <w:sz w:val="24"/>
          </w:rPr>
          <w:fldChar w:fldCharType="separate"/>
        </w:r>
        <w:r w:rsidR="00502E97">
          <w:rPr>
            <w:noProof/>
            <w:webHidden/>
            <w:sz w:val="24"/>
          </w:rPr>
          <w:t>2</w:t>
        </w:r>
        <w:r w:rsidR="00416F77" w:rsidRPr="00416F77">
          <w:rPr>
            <w:noProof/>
            <w:webHidden/>
            <w:sz w:val="24"/>
          </w:rPr>
          <w:fldChar w:fldCharType="end"/>
        </w:r>
      </w:hyperlink>
    </w:p>
    <w:p w14:paraId="244CAA1B" w14:textId="34475DFC"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64" w:history="1">
        <w:r w:rsidR="00416F77" w:rsidRPr="00416F77">
          <w:rPr>
            <w:rStyle w:val="af4"/>
            <w:rFonts w:ascii="Arial" w:hAnsi="Arial"/>
            <w:noProof/>
            <w:sz w:val="24"/>
          </w:rPr>
          <w:t>三、基金托管人对基金管理人的业务监督和核查</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_Toc202171864 \h </w:instrText>
        </w:r>
        <w:r w:rsidR="00416F77" w:rsidRPr="00416F77">
          <w:rPr>
            <w:noProof/>
            <w:webHidden/>
            <w:sz w:val="24"/>
          </w:rPr>
        </w:r>
        <w:r w:rsidR="00416F77" w:rsidRPr="00416F77">
          <w:rPr>
            <w:noProof/>
            <w:webHidden/>
            <w:sz w:val="24"/>
          </w:rPr>
          <w:fldChar w:fldCharType="separate"/>
        </w:r>
        <w:r w:rsidR="00502E97">
          <w:rPr>
            <w:noProof/>
            <w:webHidden/>
            <w:sz w:val="24"/>
          </w:rPr>
          <w:t>3</w:t>
        </w:r>
        <w:r w:rsidR="00416F77" w:rsidRPr="00416F77">
          <w:rPr>
            <w:noProof/>
            <w:webHidden/>
            <w:sz w:val="24"/>
          </w:rPr>
          <w:fldChar w:fldCharType="end"/>
        </w:r>
      </w:hyperlink>
    </w:p>
    <w:p w14:paraId="2C268FBF" w14:textId="1EC87247"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65" w:history="1">
        <w:r w:rsidR="00416F77" w:rsidRPr="00416F77">
          <w:rPr>
            <w:rStyle w:val="af4"/>
            <w:rFonts w:ascii="Arial" w:hAnsi="Arial"/>
            <w:noProof/>
            <w:sz w:val="24"/>
          </w:rPr>
          <w:t>四、基金管理人对基金托管人的业务核查</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_Toc202171865 \h </w:instrText>
        </w:r>
        <w:r w:rsidR="00416F77" w:rsidRPr="00416F77">
          <w:rPr>
            <w:noProof/>
            <w:webHidden/>
            <w:sz w:val="24"/>
          </w:rPr>
        </w:r>
        <w:r w:rsidR="00416F77" w:rsidRPr="00416F77">
          <w:rPr>
            <w:noProof/>
            <w:webHidden/>
            <w:sz w:val="24"/>
          </w:rPr>
          <w:fldChar w:fldCharType="separate"/>
        </w:r>
        <w:r w:rsidR="00502E97">
          <w:rPr>
            <w:noProof/>
            <w:webHidden/>
            <w:sz w:val="24"/>
          </w:rPr>
          <w:t>8</w:t>
        </w:r>
        <w:r w:rsidR="00416F77" w:rsidRPr="00416F77">
          <w:rPr>
            <w:noProof/>
            <w:webHidden/>
            <w:sz w:val="24"/>
          </w:rPr>
          <w:fldChar w:fldCharType="end"/>
        </w:r>
      </w:hyperlink>
    </w:p>
    <w:p w14:paraId="5E65663B" w14:textId="2026B8CF"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66" w:history="1">
        <w:r w:rsidR="00416F77" w:rsidRPr="00416F77">
          <w:rPr>
            <w:rStyle w:val="af4"/>
            <w:rFonts w:ascii="Arial" w:hAnsi="Arial"/>
            <w:noProof/>
            <w:sz w:val="24"/>
          </w:rPr>
          <w:t>五、基金财产的保管</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_Toc202171866 \h </w:instrText>
        </w:r>
        <w:r w:rsidR="00416F77" w:rsidRPr="00416F77">
          <w:rPr>
            <w:noProof/>
            <w:webHidden/>
            <w:sz w:val="24"/>
          </w:rPr>
        </w:r>
        <w:r w:rsidR="00416F77" w:rsidRPr="00416F77">
          <w:rPr>
            <w:noProof/>
            <w:webHidden/>
            <w:sz w:val="24"/>
          </w:rPr>
          <w:fldChar w:fldCharType="separate"/>
        </w:r>
        <w:r w:rsidR="00502E97">
          <w:rPr>
            <w:noProof/>
            <w:webHidden/>
            <w:sz w:val="24"/>
          </w:rPr>
          <w:t>8</w:t>
        </w:r>
        <w:r w:rsidR="00416F77" w:rsidRPr="00416F77">
          <w:rPr>
            <w:noProof/>
            <w:webHidden/>
            <w:sz w:val="24"/>
          </w:rPr>
          <w:fldChar w:fldCharType="end"/>
        </w:r>
      </w:hyperlink>
    </w:p>
    <w:p w14:paraId="730FC916" w14:textId="15013E3A"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67" w:history="1">
        <w:r w:rsidR="00416F77" w:rsidRPr="00416F77">
          <w:rPr>
            <w:rStyle w:val="af4"/>
            <w:rFonts w:ascii="Arial" w:hAnsi="Arial"/>
            <w:noProof/>
            <w:sz w:val="24"/>
          </w:rPr>
          <w:t>六、指令的发送、确认及执行</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_Toc202171867 \h </w:instrText>
        </w:r>
        <w:r w:rsidR="00416F77" w:rsidRPr="00416F77">
          <w:rPr>
            <w:noProof/>
            <w:webHidden/>
            <w:sz w:val="24"/>
          </w:rPr>
        </w:r>
        <w:r w:rsidR="00416F77" w:rsidRPr="00416F77">
          <w:rPr>
            <w:noProof/>
            <w:webHidden/>
            <w:sz w:val="24"/>
          </w:rPr>
          <w:fldChar w:fldCharType="separate"/>
        </w:r>
        <w:r w:rsidR="00502E97">
          <w:rPr>
            <w:noProof/>
            <w:webHidden/>
            <w:sz w:val="24"/>
          </w:rPr>
          <w:t>11</w:t>
        </w:r>
        <w:r w:rsidR="00416F77" w:rsidRPr="00416F77">
          <w:rPr>
            <w:noProof/>
            <w:webHidden/>
            <w:sz w:val="24"/>
          </w:rPr>
          <w:fldChar w:fldCharType="end"/>
        </w:r>
      </w:hyperlink>
    </w:p>
    <w:p w14:paraId="3FA24129" w14:textId="4C19B087"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68" w:history="1">
        <w:r w:rsidR="00416F77" w:rsidRPr="00416F77">
          <w:rPr>
            <w:rStyle w:val="af4"/>
            <w:rFonts w:ascii="Arial" w:hAnsi="Arial"/>
            <w:noProof/>
            <w:sz w:val="24"/>
          </w:rPr>
          <w:t>七、交易及清算交收安排</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_Toc202171868 \h </w:instrText>
        </w:r>
        <w:r w:rsidR="00416F77" w:rsidRPr="00416F77">
          <w:rPr>
            <w:noProof/>
            <w:webHidden/>
            <w:sz w:val="24"/>
          </w:rPr>
        </w:r>
        <w:r w:rsidR="00416F77" w:rsidRPr="00416F77">
          <w:rPr>
            <w:noProof/>
            <w:webHidden/>
            <w:sz w:val="24"/>
          </w:rPr>
          <w:fldChar w:fldCharType="separate"/>
        </w:r>
        <w:r w:rsidR="00502E97">
          <w:rPr>
            <w:noProof/>
            <w:webHidden/>
            <w:sz w:val="24"/>
          </w:rPr>
          <w:t>14</w:t>
        </w:r>
        <w:r w:rsidR="00416F77" w:rsidRPr="00416F77">
          <w:rPr>
            <w:noProof/>
            <w:webHidden/>
            <w:sz w:val="24"/>
          </w:rPr>
          <w:fldChar w:fldCharType="end"/>
        </w:r>
      </w:hyperlink>
    </w:p>
    <w:p w14:paraId="4EAA9896" w14:textId="66AD9F1E"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69" w:history="1">
        <w:r w:rsidR="00416F77" w:rsidRPr="00416F77">
          <w:rPr>
            <w:rStyle w:val="af4"/>
            <w:rFonts w:ascii="Arial" w:hAnsi="Arial"/>
            <w:noProof/>
            <w:sz w:val="24"/>
          </w:rPr>
          <w:t>八、基金资产净值计算和会计核算</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_Toc202171869 \h </w:instrText>
        </w:r>
        <w:r w:rsidR="00416F77" w:rsidRPr="00416F77">
          <w:rPr>
            <w:noProof/>
            <w:webHidden/>
            <w:sz w:val="24"/>
          </w:rPr>
        </w:r>
        <w:r w:rsidR="00416F77" w:rsidRPr="00416F77">
          <w:rPr>
            <w:noProof/>
            <w:webHidden/>
            <w:sz w:val="24"/>
          </w:rPr>
          <w:fldChar w:fldCharType="separate"/>
        </w:r>
        <w:r w:rsidR="00502E97">
          <w:rPr>
            <w:noProof/>
            <w:webHidden/>
            <w:sz w:val="24"/>
          </w:rPr>
          <w:t>16</w:t>
        </w:r>
        <w:r w:rsidR="00416F77" w:rsidRPr="00416F77">
          <w:rPr>
            <w:noProof/>
            <w:webHidden/>
            <w:sz w:val="24"/>
          </w:rPr>
          <w:fldChar w:fldCharType="end"/>
        </w:r>
      </w:hyperlink>
    </w:p>
    <w:p w14:paraId="01AC9268" w14:textId="71ED2B50"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0" w:history="1">
        <w:r w:rsidR="00416F77" w:rsidRPr="00416F77">
          <w:rPr>
            <w:rStyle w:val="af4"/>
            <w:rFonts w:ascii="Arial" w:hAnsi="Arial"/>
            <w:noProof/>
            <w:sz w:val="24"/>
          </w:rPr>
          <w:t>九、基金收益分配</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_Toc202171870 \h </w:instrText>
        </w:r>
        <w:r w:rsidR="00416F77" w:rsidRPr="00416F77">
          <w:rPr>
            <w:noProof/>
            <w:webHidden/>
            <w:sz w:val="24"/>
          </w:rPr>
        </w:r>
        <w:r w:rsidR="00416F77" w:rsidRPr="00416F77">
          <w:rPr>
            <w:noProof/>
            <w:webHidden/>
            <w:sz w:val="24"/>
          </w:rPr>
          <w:fldChar w:fldCharType="separate"/>
        </w:r>
        <w:r w:rsidR="00502E97">
          <w:rPr>
            <w:noProof/>
            <w:webHidden/>
            <w:sz w:val="24"/>
          </w:rPr>
          <w:t>19</w:t>
        </w:r>
        <w:r w:rsidR="00416F77" w:rsidRPr="00416F77">
          <w:rPr>
            <w:noProof/>
            <w:webHidden/>
            <w:sz w:val="24"/>
          </w:rPr>
          <w:fldChar w:fldCharType="end"/>
        </w:r>
      </w:hyperlink>
    </w:p>
    <w:p w14:paraId="54794013" w14:textId="45D1DAF0"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1" w:history="1">
        <w:r w:rsidR="00416F77" w:rsidRPr="00416F77">
          <w:rPr>
            <w:rStyle w:val="af4"/>
            <w:rFonts w:ascii="Arial" w:hAnsi="Arial"/>
            <w:noProof/>
            <w:sz w:val="24"/>
          </w:rPr>
          <w:t>十、基金信息披露</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_Toc202171871 \h </w:instrText>
        </w:r>
        <w:r w:rsidR="00416F77" w:rsidRPr="00416F77">
          <w:rPr>
            <w:noProof/>
            <w:webHidden/>
            <w:sz w:val="24"/>
          </w:rPr>
        </w:r>
        <w:r w:rsidR="00416F77" w:rsidRPr="00416F77">
          <w:rPr>
            <w:noProof/>
            <w:webHidden/>
            <w:sz w:val="24"/>
          </w:rPr>
          <w:fldChar w:fldCharType="separate"/>
        </w:r>
        <w:r w:rsidR="00502E97">
          <w:rPr>
            <w:noProof/>
            <w:webHidden/>
            <w:sz w:val="24"/>
          </w:rPr>
          <w:t>20</w:t>
        </w:r>
        <w:r w:rsidR="00416F77" w:rsidRPr="00416F77">
          <w:rPr>
            <w:noProof/>
            <w:webHidden/>
            <w:sz w:val="24"/>
          </w:rPr>
          <w:fldChar w:fldCharType="end"/>
        </w:r>
      </w:hyperlink>
    </w:p>
    <w:p w14:paraId="4A9BFDC2" w14:textId="213B0D12"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2" w:history="1">
        <w:r w:rsidR="00416F77" w:rsidRPr="00416F77">
          <w:rPr>
            <w:rStyle w:val="af4"/>
            <w:rFonts w:ascii="Arial" w:hAnsi="Arial"/>
            <w:noProof/>
            <w:sz w:val="24"/>
          </w:rPr>
          <w:t>十一、基金费用</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_Toc202171872 \h </w:instrText>
        </w:r>
        <w:r w:rsidR="00416F77" w:rsidRPr="00416F77">
          <w:rPr>
            <w:noProof/>
            <w:webHidden/>
            <w:sz w:val="24"/>
          </w:rPr>
        </w:r>
        <w:r w:rsidR="00416F77" w:rsidRPr="00416F77">
          <w:rPr>
            <w:noProof/>
            <w:webHidden/>
            <w:sz w:val="24"/>
          </w:rPr>
          <w:fldChar w:fldCharType="separate"/>
        </w:r>
        <w:r w:rsidR="00502E97">
          <w:rPr>
            <w:noProof/>
            <w:webHidden/>
            <w:sz w:val="24"/>
          </w:rPr>
          <w:t>21</w:t>
        </w:r>
        <w:r w:rsidR="00416F77" w:rsidRPr="00416F77">
          <w:rPr>
            <w:noProof/>
            <w:webHidden/>
            <w:sz w:val="24"/>
          </w:rPr>
          <w:fldChar w:fldCharType="end"/>
        </w:r>
      </w:hyperlink>
    </w:p>
    <w:p w14:paraId="5D62D8B0" w14:textId="1D047F83"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3" w:history="1">
        <w:r w:rsidR="00416F77" w:rsidRPr="00416F77">
          <w:rPr>
            <w:rStyle w:val="af4"/>
            <w:rFonts w:ascii="Arial" w:hAnsi="Arial"/>
            <w:noProof/>
            <w:sz w:val="24"/>
          </w:rPr>
          <w:t>十二、基金份额持有人名册的保管</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_Toc202171873 \h </w:instrText>
        </w:r>
        <w:r w:rsidR="00416F77" w:rsidRPr="00416F77">
          <w:rPr>
            <w:noProof/>
            <w:webHidden/>
            <w:sz w:val="24"/>
          </w:rPr>
        </w:r>
        <w:r w:rsidR="00416F77" w:rsidRPr="00416F77">
          <w:rPr>
            <w:noProof/>
            <w:webHidden/>
            <w:sz w:val="24"/>
          </w:rPr>
          <w:fldChar w:fldCharType="separate"/>
        </w:r>
        <w:r w:rsidR="00502E97">
          <w:rPr>
            <w:noProof/>
            <w:webHidden/>
            <w:sz w:val="24"/>
          </w:rPr>
          <w:t>22</w:t>
        </w:r>
        <w:r w:rsidR="00416F77" w:rsidRPr="00416F77">
          <w:rPr>
            <w:noProof/>
            <w:webHidden/>
            <w:sz w:val="24"/>
          </w:rPr>
          <w:fldChar w:fldCharType="end"/>
        </w:r>
      </w:hyperlink>
    </w:p>
    <w:p w14:paraId="341FB047" w14:textId="229C3D77"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4" w:history="1">
        <w:r w:rsidR="00416F77" w:rsidRPr="00416F77">
          <w:rPr>
            <w:rStyle w:val="af4"/>
            <w:rFonts w:ascii="Arial" w:hAnsi="Arial"/>
            <w:noProof/>
            <w:sz w:val="24"/>
          </w:rPr>
          <w:t>十三、基金有关文件档案的保存</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_Toc202171874 \h </w:instrText>
        </w:r>
        <w:r w:rsidR="00416F77" w:rsidRPr="00416F77">
          <w:rPr>
            <w:noProof/>
            <w:webHidden/>
            <w:sz w:val="24"/>
          </w:rPr>
        </w:r>
        <w:r w:rsidR="00416F77" w:rsidRPr="00416F77">
          <w:rPr>
            <w:noProof/>
            <w:webHidden/>
            <w:sz w:val="24"/>
          </w:rPr>
          <w:fldChar w:fldCharType="separate"/>
        </w:r>
        <w:r w:rsidR="00502E97">
          <w:rPr>
            <w:noProof/>
            <w:webHidden/>
            <w:sz w:val="24"/>
          </w:rPr>
          <w:t>22</w:t>
        </w:r>
        <w:r w:rsidR="00416F77" w:rsidRPr="00416F77">
          <w:rPr>
            <w:noProof/>
            <w:webHidden/>
            <w:sz w:val="24"/>
          </w:rPr>
          <w:fldChar w:fldCharType="end"/>
        </w:r>
      </w:hyperlink>
    </w:p>
    <w:p w14:paraId="3EBA738D" w14:textId="07047458"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5" w:history="1">
        <w:r w:rsidR="00416F77" w:rsidRPr="00416F77">
          <w:rPr>
            <w:rStyle w:val="af4"/>
            <w:rFonts w:ascii="Arial" w:hAnsi="Arial"/>
            <w:noProof/>
            <w:sz w:val="24"/>
          </w:rPr>
          <w:t>十四、基金托管人和基金管理人的更换</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_Toc202171875 \h </w:instrText>
        </w:r>
        <w:r w:rsidR="00416F77" w:rsidRPr="00416F77">
          <w:rPr>
            <w:noProof/>
            <w:webHidden/>
            <w:sz w:val="24"/>
          </w:rPr>
        </w:r>
        <w:r w:rsidR="00416F77" w:rsidRPr="00416F77">
          <w:rPr>
            <w:noProof/>
            <w:webHidden/>
            <w:sz w:val="24"/>
          </w:rPr>
          <w:fldChar w:fldCharType="separate"/>
        </w:r>
        <w:r w:rsidR="00502E97">
          <w:rPr>
            <w:noProof/>
            <w:webHidden/>
            <w:sz w:val="24"/>
          </w:rPr>
          <w:t>23</w:t>
        </w:r>
        <w:r w:rsidR="00416F77" w:rsidRPr="00416F77">
          <w:rPr>
            <w:noProof/>
            <w:webHidden/>
            <w:sz w:val="24"/>
          </w:rPr>
          <w:fldChar w:fldCharType="end"/>
        </w:r>
      </w:hyperlink>
    </w:p>
    <w:p w14:paraId="11EFC74F" w14:textId="211B8BF4"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6" w:history="1">
        <w:r w:rsidR="00416F77" w:rsidRPr="00416F77">
          <w:rPr>
            <w:rStyle w:val="af4"/>
            <w:rFonts w:ascii="Arial" w:hAnsi="Arial"/>
            <w:noProof/>
            <w:sz w:val="24"/>
          </w:rPr>
          <w:t>十五、禁止行为</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_Toc202171876 \h </w:instrText>
        </w:r>
        <w:r w:rsidR="00416F77" w:rsidRPr="00416F77">
          <w:rPr>
            <w:noProof/>
            <w:webHidden/>
            <w:sz w:val="24"/>
          </w:rPr>
        </w:r>
        <w:r w:rsidR="00416F77" w:rsidRPr="00416F77">
          <w:rPr>
            <w:noProof/>
            <w:webHidden/>
            <w:sz w:val="24"/>
          </w:rPr>
          <w:fldChar w:fldCharType="separate"/>
        </w:r>
        <w:r w:rsidR="00502E97">
          <w:rPr>
            <w:noProof/>
            <w:webHidden/>
            <w:sz w:val="24"/>
          </w:rPr>
          <w:t>23</w:t>
        </w:r>
        <w:r w:rsidR="00416F77" w:rsidRPr="00416F77">
          <w:rPr>
            <w:noProof/>
            <w:webHidden/>
            <w:sz w:val="24"/>
          </w:rPr>
          <w:fldChar w:fldCharType="end"/>
        </w:r>
      </w:hyperlink>
    </w:p>
    <w:p w14:paraId="36BDE86F" w14:textId="5805C846"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7" w:history="1">
        <w:r w:rsidR="00416F77" w:rsidRPr="00416F77">
          <w:rPr>
            <w:rStyle w:val="af4"/>
            <w:rFonts w:ascii="Arial" w:hAnsi="Arial"/>
            <w:noProof/>
            <w:sz w:val="24"/>
          </w:rPr>
          <w:t>十六、托管协议的变更、终止与基金财产的清算</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_Toc202171877 \h </w:instrText>
        </w:r>
        <w:r w:rsidR="00416F77" w:rsidRPr="00416F77">
          <w:rPr>
            <w:noProof/>
            <w:webHidden/>
            <w:sz w:val="24"/>
          </w:rPr>
        </w:r>
        <w:r w:rsidR="00416F77" w:rsidRPr="00416F77">
          <w:rPr>
            <w:noProof/>
            <w:webHidden/>
            <w:sz w:val="24"/>
          </w:rPr>
          <w:fldChar w:fldCharType="separate"/>
        </w:r>
        <w:r w:rsidR="00502E97">
          <w:rPr>
            <w:noProof/>
            <w:webHidden/>
            <w:sz w:val="24"/>
          </w:rPr>
          <w:t>23</w:t>
        </w:r>
        <w:r w:rsidR="00416F77" w:rsidRPr="00416F77">
          <w:rPr>
            <w:noProof/>
            <w:webHidden/>
            <w:sz w:val="24"/>
          </w:rPr>
          <w:fldChar w:fldCharType="end"/>
        </w:r>
      </w:hyperlink>
    </w:p>
    <w:p w14:paraId="2E8AAFC9" w14:textId="02A24C42"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8" w:history="1">
        <w:r w:rsidR="00416F77" w:rsidRPr="00416F77">
          <w:rPr>
            <w:rStyle w:val="af4"/>
            <w:rFonts w:ascii="Arial" w:hAnsi="Arial"/>
            <w:noProof/>
            <w:sz w:val="24"/>
          </w:rPr>
          <w:t>十七、违约责任和责任划分</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_Toc202171878 \h </w:instrText>
        </w:r>
        <w:r w:rsidR="00416F77" w:rsidRPr="00416F77">
          <w:rPr>
            <w:noProof/>
            <w:webHidden/>
            <w:sz w:val="24"/>
          </w:rPr>
        </w:r>
        <w:r w:rsidR="00416F77" w:rsidRPr="00416F77">
          <w:rPr>
            <w:noProof/>
            <w:webHidden/>
            <w:sz w:val="24"/>
          </w:rPr>
          <w:fldChar w:fldCharType="separate"/>
        </w:r>
        <w:r w:rsidR="00502E97">
          <w:rPr>
            <w:noProof/>
            <w:webHidden/>
            <w:sz w:val="24"/>
          </w:rPr>
          <w:t>24</w:t>
        </w:r>
        <w:r w:rsidR="00416F77" w:rsidRPr="00416F77">
          <w:rPr>
            <w:noProof/>
            <w:webHidden/>
            <w:sz w:val="24"/>
          </w:rPr>
          <w:fldChar w:fldCharType="end"/>
        </w:r>
      </w:hyperlink>
    </w:p>
    <w:p w14:paraId="1986741C" w14:textId="66B39EE1"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79" w:history="1">
        <w:r w:rsidR="00416F77" w:rsidRPr="00416F77">
          <w:rPr>
            <w:rStyle w:val="af4"/>
            <w:rFonts w:ascii="Arial" w:hAnsi="Arial"/>
            <w:noProof/>
            <w:sz w:val="24"/>
          </w:rPr>
          <w:t>十八、适用法律与争议解决方式</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_Toc202171879 \h </w:instrText>
        </w:r>
        <w:r w:rsidR="00416F77" w:rsidRPr="00416F77">
          <w:rPr>
            <w:noProof/>
            <w:webHidden/>
            <w:sz w:val="24"/>
          </w:rPr>
        </w:r>
        <w:r w:rsidR="00416F77" w:rsidRPr="00416F77">
          <w:rPr>
            <w:noProof/>
            <w:webHidden/>
            <w:sz w:val="24"/>
          </w:rPr>
          <w:fldChar w:fldCharType="separate"/>
        </w:r>
        <w:r w:rsidR="00502E97">
          <w:rPr>
            <w:noProof/>
            <w:webHidden/>
            <w:sz w:val="24"/>
          </w:rPr>
          <w:t>26</w:t>
        </w:r>
        <w:r w:rsidR="00416F77" w:rsidRPr="00416F77">
          <w:rPr>
            <w:noProof/>
            <w:webHidden/>
            <w:sz w:val="24"/>
          </w:rPr>
          <w:fldChar w:fldCharType="end"/>
        </w:r>
      </w:hyperlink>
    </w:p>
    <w:p w14:paraId="56211197" w14:textId="077700F7" w:rsidR="00416F77" w:rsidRPr="00416F77" w:rsidRDefault="00223DD4" w:rsidP="00416F77">
      <w:pPr>
        <w:pStyle w:val="14"/>
        <w:tabs>
          <w:tab w:val="right" w:pos="8296"/>
        </w:tabs>
        <w:spacing w:line="360" w:lineRule="auto"/>
        <w:rPr>
          <w:rFonts w:asciiTheme="minorHAnsi" w:eastAsiaTheme="minorEastAsia" w:hAnsiTheme="minorHAnsi" w:cstheme="minorBidi"/>
          <w:noProof/>
          <w:kern w:val="2"/>
          <w:sz w:val="28"/>
          <w:lang w:eastAsia="zh-CN" w:bidi="ar-SA"/>
        </w:rPr>
      </w:pPr>
      <w:hyperlink w:anchor="_Toc202171880" w:history="1">
        <w:r w:rsidR="00416F77" w:rsidRPr="00416F77">
          <w:rPr>
            <w:rStyle w:val="af4"/>
            <w:rFonts w:ascii="Arial" w:hAnsi="Arial"/>
            <w:noProof/>
            <w:sz w:val="24"/>
          </w:rPr>
          <w:t>十九、托管协议的效力</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_Toc202171880 \h </w:instrText>
        </w:r>
        <w:r w:rsidR="00416F77" w:rsidRPr="00416F77">
          <w:rPr>
            <w:noProof/>
            <w:webHidden/>
            <w:sz w:val="24"/>
          </w:rPr>
        </w:r>
        <w:r w:rsidR="00416F77" w:rsidRPr="00416F77">
          <w:rPr>
            <w:noProof/>
            <w:webHidden/>
            <w:sz w:val="24"/>
          </w:rPr>
          <w:fldChar w:fldCharType="separate"/>
        </w:r>
        <w:r w:rsidR="00502E97">
          <w:rPr>
            <w:noProof/>
            <w:webHidden/>
            <w:sz w:val="24"/>
          </w:rPr>
          <w:t>26</w:t>
        </w:r>
        <w:r w:rsidR="00416F77" w:rsidRPr="00416F77">
          <w:rPr>
            <w:noProof/>
            <w:webHidden/>
            <w:sz w:val="24"/>
          </w:rPr>
          <w:fldChar w:fldCharType="end"/>
        </w:r>
      </w:hyperlink>
    </w:p>
    <w:p w14:paraId="4DACA944" w14:textId="13BD6970" w:rsidR="00416F77" w:rsidRDefault="00223DD4" w:rsidP="00416F77">
      <w:pPr>
        <w:pStyle w:val="14"/>
        <w:tabs>
          <w:tab w:val="right" w:pos="8296"/>
        </w:tabs>
        <w:spacing w:line="360" w:lineRule="auto"/>
        <w:rPr>
          <w:rFonts w:asciiTheme="minorHAnsi" w:eastAsiaTheme="minorEastAsia" w:hAnsiTheme="minorHAnsi" w:cstheme="minorBidi"/>
          <w:noProof/>
          <w:kern w:val="2"/>
          <w:sz w:val="21"/>
          <w:lang w:eastAsia="zh-CN" w:bidi="ar-SA"/>
        </w:rPr>
      </w:pPr>
      <w:hyperlink w:anchor="_Toc202171881" w:history="1">
        <w:r w:rsidR="00416F77" w:rsidRPr="00416F77">
          <w:rPr>
            <w:rStyle w:val="af4"/>
            <w:rFonts w:ascii="Arial" w:hAnsi="Arial"/>
            <w:noProof/>
            <w:sz w:val="24"/>
          </w:rPr>
          <w:t>二十、托管协议的签订</w:t>
        </w:r>
        <w:r w:rsidR="00416F77" w:rsidRPr="00416F77">
          <w:rPr>
            <w:noProof/>
            <w:webHidden/>
            <w:sz w:val="24"/>
          </w:rPr>
          <w:tab/>
        </w:r>
        <w:r w:rsidR="00416F77" w:rsidRPr="00416F77">
          <w:rPr>
            <w:noProof/>
            <w:webHidden/>
            <w:sz w:val="24"/>
          </w:rPr>
          <w:fldChar w:fldCharType="begin"/>
        </w:r>
        <w:r w:rsidR="00416F77" w:rsidRPr="00416F77">
          <w:rPr>
            <w:noProof/>
            <w:webHidden/>
            <w:sz w:val="24"/>
          </w:rPr>
          <w:instrText xml:space="preserve"> PAGEREF _Toc202171881 \h </w:instrText>
        </w:r>
        <w:r w:rsidR="00416F77" w:rsidRPr="00416F77">
          <w:rPr>
            <w:noProof/>
            <w:webHidden/>
            <w:sz w:val="24"/>
          </w:rPr>
        </w:r>
        <w:r w:rsidR="00416F77" w:rsidRPr="00416F77">
          <w:rPr>
            <w:noProof/>
            <w:webHidden/>
            <w:sz w:val="24"/>
          </w:rPr>
          <w:fldChar w:fldCharType="separate"/>
        </w:r>
        <w:r w:rsidR="00502E97">
          <w:rPr>
            <w:noProof/>
            <w:webHidden/>
            <w:sz w:val="24"/>
          </w:rPr>
          <w:t>27</w:t>
        </w:r>
        <w:r w:rsidR="00416F77" w:rsidRPr="00416F77">
          <w:rPr>
            <w:noProof/>
            <w:webHidden/>
            <w:sz w:val="24"/>
          </w:rPr>
          <w:fldChar w:fldCharType="end"/>
        </w:r>
      </w:hyperlink>
    </w:p>
    <w:p w14:paraId="31A674BE" w14:textId="19AC6D73" w:rsidR="008247B4" w:rsidRDefault="00CA50F3">
      <w:pPr>
        <w:pStyle w:val="15"/>
        <w:tabs>
          <w:tab w:val="left" w:pos="0"/>
        </w:tabs>
        <w:spacing w:before="100" w:beforeAutospacing="1" w:after="100" w:afterAutospacing="1" w:line="360" w:lineRule="auto"/>
        <w:ind w:right="26"/>
        <w:rPr>
          <w:rFonts w:ascii="Arial" w:hAnsi="Arial"/>
          <w:sz w:val="20"/>
          <w:szCs w:val="20"/>
        </w:rPr>
        <w:sectPr w:rsidR="008247B4">
          <w:headerReference w:type="first" r:id="rId11"/>
          <w:pgSz w:w="11906" w:h="16838"/>
          <w:pgMar w:top="1440" w:right="1800" w:bottom="1440" w:left="1800" w:header="851" w:footer="992" w:gutter="0"/>
          <w:pgNumType w:start="1"/>
          <w:cols w:space="720"/>
          <w:docGrid w:type="lines" w:linePitch="312"/>
        </w:sectPr>
      </w:pPr>
      <w:r>
        <w:rPr>
          <w:rFonts w:ascii="Arial" w:hAnsi="Arial"/>
          <w:szCs w:val="21"/>
        </w:rPr>
        <w:fldChar w:fldCharType="end"/>
      </w:r>
    </w:p>
    <w:p w14:paraId="59D96BB2" w14:textId="77777777" w:rsidR="008247B4" w:rsidRDefault="00CA50F3">
      <w:pPr>
        <w:pStyle w:val="1f3"/>
        <w:spacing w:before="100" w:beforeAutospacing="1" w:after="100" w:afterAutospacing="1" w:line="400" w:lineRule="exact"/>
        <w:ind w:firstLine="403"/>
        <w:rPr>
          <w:rFonts w:ascii="Arial" w:hAnsi="Arial"/>
        </w:rPr>
      </w:pPr>
      <w:r>
        <w:rPr>
          <w:rFonts w:ascii="Arial" w:hAnsi="Arial"/>
        </w:rPr>
        <w:lastRenderedPageBreak/>
        <w:t>鉴于嘉</w:t>
      </w:r>
      <w:proofErr w:type="gramStart"/>
      <w:r>
        <w:rPr>
          <w:rFonts w:ascii="Arial" w:hAnsi="Arial"/>
        </w:rPr>
        <w:t>实基金</w:t>
      </w:r>
      <w:proofErr w:type="gramEnd"/>
      <w:r>
        <w:rPr>
          <w:rFonts w:ascii="Arial" w:hAnsi="Arial"/>
        </w:rPr>
        <w:t>管理有限公司是一家依照中国法律合法成立并有效存续的有限责任公司，按照相关法律法规的规定具备担任基金管理人的资格和能力；</w:t>
      </w:r>
    </w:p>
    <w:p w14:paraId="0505813B" w14:textId="5B04EF72" w:rsidR="008247B4" w:rsidRDefault="00CA50F3">
      <w:pPr>
        <w:pStyle w:val="1f3"/>
        <w:spacing w:before="100" w:beforeAutospacing="1" w:after="100" w:afterAutospacing="1" w:line="400" w:lineRule="exact"/>
        <w:ind w:firstLine="403"/>
        <w:rPr>
          <w:rFonts w:ascii="Arial" w:hAnsi="Arial"/>
        </w:rPr>
      </w:pPr>
      <w:r>
        <w:rPr>
          <w:rFonts w:ascii="Arial" w:hAnsi="Arial"/>
        </w:rPr>
        <w:t>鉴于</w:t>
      </w:r>
      <w:r w:rsidR="0000296A">
        <w:rPr>
          <w:rFonts w:ascii="Arial" w:hAnsi="Arial"/>
        </w:rPr>
        <w:t>国金证券</w:t>
      </w:r>
      <w:r>
        <w:rPr>
          <w:rFonts w:ascii="Arial" w:hAnsi="Arial"/>
        </w:rPr>
        <w:t>股份有限公司是一家依照中国法律合法成立并有效存续的</w:t>
      </w:r>
      <w:r w:rsidR="0000296A">
        <w:rPr>
          <w:rFonts w:ascii="Arial" w:hAnsi="Arial" w:hint="eastAsia"/>
        </w:rPr>
        <w:t>证券公司</w:t>
      </w:r>
      <w:r>
        <w:rPr>
          <w:rFonts w:ascii="Arial" w:hAnsi="Arial"/>
        </w:rPr>
        <w:t>，按照相关法律法规的规定具备担任基金托管人的资格和能力；</w:t>
      </w:r>
    </w:p>
    <w:p w14:paraId="3F3B67AF" w14:textId="324CF78D" w:rsidR="008247B4" w:rsidRDefault="00CA50F3">
      <w:pPr>
        <w:pStyle w:val="1f3"/>
        <w:spacing w:before="100" w:beforeAutospacing="1" w:after="100" w:afterAutospacing="1" w:line="400" w:lineRule="exact"/>
        <w:ind w:firstLine="403"/>
        <w:rPr>
          <w:rFonts w:ascii="Arial" w:hAnsi="Arial"/>
        </w:rPr>
      </w:pPr>
      <w:r>
        <w:rPr>
          <w:rFonts w:ascii="Arial" w:hAnsi="Arial"/>
        </w:rPr>
        <w:t>鉴于嘉</w:t>
      </w:r>
      <w:proofErr w:type="gramStart"/>
      <w:r>
        <w:rPr>
          <w:rFonts w:ascii="Arial" w:hAnsi="Arial"/>
        </w:rPr>
        <w:t>实基金</w:t>
      </w:r>
      <w:proofErr w:type="gramEnd"/>
      <w:r>
        <w:rPr>
          <w:rFonts w:ascii="Arial" w:hAnsi="Arial"/>
        </w:rPr>
        <w:t>管理有限公司拟担任</w:t>
      </w:r>
      <w:r w:rsidR="00000C48">
        <w:rPr>
          <w:rFonts w:ascii="Arial" w:hAnsi="Arial" w:hint="eastAsia"/>
        </w:rPr>
        <w:t>嘉实</w:t>
      </w:r>
      <w:r w:rsidR="0000296A">
        <w:rPr>
          <w:rFonts w:ascii="Arial" w:hAnsi="Arial" w:hint="eastAsia"/>
        </w:rPr>
        <w:t>恒指港股</w:t>
      </w:r>
      <w:proofErr w:type="gramStart"/>
      <w:r w:rsidR="0000296A">
        <w:rPr>
          <w:rFonts w:ascii="Arial" w:hAnsi="Arial" w:hint="eastAsia"/>
        </w:rPr>
        <w:t>通</w:t>
      </w:r>
      <w:r w:rsidR="00000C48">
        <w:rPr>
          <w:rFonts w:ascii="Arial" w:hAnsi="Arial" w:hint="eastAsia"/>
        </w:rPr>
        <w:t>交易</w:t>
      </w:r>
      <w:proofErr w:type="gramEnd"/>
      <w:r w:rsidR="00000C48">
        <w:rPr>
          <w:rFonts w:ascii="Arial" w:hAnsi="Arial" w:hint="eastAsia"/>
        </w:rPr>
        <w:t>型开放式指数证券投资基金</w:t>
      </w:r>
      <w:r>
        <w:rPr>
          <w:rFonts w:ascii="Arial" w:hAnsi="Arial"/>
        </w:rPr>
        <w:t>的基金管理人，</w:t>
      </w:r>
      <w:r w:rsidR="0000296A">
        <w:rPr>
          <w:rFonts w:ascii="Arial" w:hAnsi="Arial"/>
        </w:rPr>
        <w:t>国金证券</w:t>
      </w:r>
      <w:r>
        <w:rPr>
          <w:rFonts w:ascii="Arial" w:hAnsi="Arial"/>
        </w:rPr>
        <w:t>股份有限公司拟担任</w:t>
      </w:r>
      <w:r w:rsidR="00000C48">
        <w:rPr>
          <w:rFonts w:ascii="Arial" w:hAnsi="Arial"/>
        </w:rPr>
        <w:t>嘉实</w:t>
      </w:r>
      <w:r w:rsidR="0000296A">
        <w:rPr>
          <w:rFonts w:ascii="Arial" w:hAnsi="Arial"/>
        </w:rPr>
        <w:t>恒指港股</w:t>
      </w:r>
      <w:proofErr w:type="gramStart"/>
      <w:r w:rsidR="0000296A">
        <w:rPr>
          <w:rFonts w:ascii="Arial" w:hAnsi="Arial"/>
        </w:rPr>
        <w:t>通</w:t>
      </w:r>
      <w:r w:rsidR="00000C48">
        <w:rPr>
          <w:rFonts w:ascii="Arial" w:hAnsi="Arial"/>
        </w:rPr>
        <w:t>交易</w:t>
      </w:r>
      <w:proofErr w:type="gramEnd"/>
      <w:r w:rsidR="00000C48">
        <w:rPr>
          <w:rFonts w:ascii="Arial" w:hAnsi="Arial"/>
        </w:rPr>
        <w:t>型开放式指数证券投资基金</w:t>
      </w:r>
      <w:r>
        <w:rPr>
          <w:rFonts w:ascii="Arial" w:hAnsi="Arial"/>
        </w:rPr>
        <w:t>的基金托管人；</w:t>
      </w:r>
    </w:p>
    <w:p w14:paraId="2033EA25" w14:textId="4DC197DD" w:rsidR="008247B4" w:rsidRDefault="00CA50F3">
      <w:pPr>
        <w:pStyle w:val="1f3"/>
        <w:spacing w:before="100" w:beforeAutospacing="1" w:after="100" w:afterAutospacing="1" w:line="400" w:lineRule="exact"/>
        <w:ind w:firstLine="403"/>
        <w:rPr>
          <w:rFonts w:ascii="Arial" w:hAnsi="Arial"/>
        </w:rPr>
      </w:pPr>
      <w:r>
        <w:rPr>
          <w:rFonts w:ascii="Arial" w:hAnsi="Arial"/>
        </w:rPr>
        <w:t>为</w:t>
      </w:r>
      <w:proofErr w:type="gramStart"/>
      <w:r>
        <w:rPr>
          <w:rFonts w:ascii="Arial" w:hAnsi="Arial"/>
        </w:rPr>
        <w:t>明确</w:t>
      </w:r>
      <w:r w:rsidR="00000C48">
        <w:rPr>
          <w:rFonts w:ascii="Arial" w:hAnsi="Arial" w:hint="eastAsia"/>
        </w:rPr>
        <w:t>嘉</w:t>
      </w:r>
      <w:proofErr w:type="gramEnd"/>
      <w:r w:rsidR="00000C48">
        <w:rPr>
          <w:rFonts w:ascii="Arial" w:hAnsi="Arial" w:hint="eastAsia"/>
        </w:rPr>
        <w:t>实</w:t>
      </w:r>
      <w:r w:rsidR="0000296A">
        <w:rPr>
          <w:rFonts w:ascii="Arial" w:hAnsi="Arial" w:hint="eastAsia"/>
        </w:rPr>
        <w:t>恒指港股</w:t>
      </w:r>
      <w:proofErr w:type="gramStart"/>
      <w:r w:rsidR="0000296A">
        <w:rPr>
          <w:rFonts w:ascii="Arial" w:hAnsi="Arial" w:hint="eastAsia"/>
        </w:rPr>
        <w:t>通</w:t>
      </w:r>
      <w:r w:rsidR="00000C48">
        <w:rPr>
          <w:rFonts w:ascii="Arial" w:hAnsi="Arial" w:hint="eastAsia"/>
        </w:rPr>
        <w:t>交易</w:t>
      </w:r>
      <w:proofErr w:type="gramEnd"/>
      <w:r w:rsidR="00000C48">
        <w:rPr>
          <w:rFonts w:ascii="Arial" w:hAnsi="Arial" w:hint="eastAsia"/>
        </w:rPr>
        <w:t>型开放式指数证券投资基金</w:t>
      </w:r>
      <w:r w:rsidR="00FA39EF">
        <w:rPr>
          <w:rFonts w:ascii="Arial" w:hAnsi="Arial" w:hint="eastAsia"/>
        </w:rPr>
        <w:t>（以下简称“本基金”）</w:t>
      </w:r>
      <w:r w:rsidR="00000C48">
        <w:rPr>
          <w:rFonts w:ascii="Arial" w:hAnsi="Arial" w:hint="eastAsia"/>
        </w:rPr>
        <w:t>的</w:t>
      </w:r>
      <w:r>
        <w:rPr>
          <w:rFonts w:ascii="Arial" w:hAnsi="Arial"/>
        </w:rPr>
        <w:t>基金管理人和基金托管人之间的权利义务关系，特制订本协议。</w:t>
      </w:r>
      <w:bookmarkStart w:id="4" w:name="_Toc30230313"/>
    </w:p>
    <w:p w14:paraId="02AA5A8C" w14:textId="77777777" w:rsidR="008247B4" w:rsidRDefault="008247B4">
      <w:pPr>
        <w:pStyle w:val="1f3"/>
        <w:spacing w:before="100" w:beforeAutospacing="1" w:after="100" w:afterAutospacing="1" w:line="400" w:lineRule="exact"/>
        <w:ind w:firstLine="549"/>
        <w:rPr>
          <w:rFonts w:ascii="Arial" w:hAnsi="Arial"/>
        </w:rPr>
      </w:pPr>
    </w:p>
    <w:p w14:paraId="5C605CD0" w14:textId="77777777" w:rsidR="008247B4" w:rsidRDefault="00CA50F3">
      <w:pPr>
        <w:pStyle w:val="116"/>
        <w:spacing w:before="100" w:beforeAutospacing="1" w:after="100" w:afterAutospacing="1" w:line="400" w:lineRule="exact"/>
        <w:ind w:firstLine="422"/>
        <w:rPr>
          <w:rFonts w:ascii="Arial" w:hAnsi="Arial"/>
          <w:sz w:val="21"/>
          <w:szCs w:val="21"/>
        </w:rPr>
      </w:pPr>
      <w:bookmarkStart w:id="5" w:name="_Toc116900096"/>
      <w:bookmarkStart w:id="6" w:name="_Toc202171862"/>
      <w:bookmarkStart w:id="7" w:name="OLE_LINK74"/>
      <w:r>
        <w:rPr>
          <w:rFonts w:ascii="Arial" w:hAnsi="Arial"/>
          <w:sz w:val="21"/>
          <w:szCs w:val="21"/>
        </w:rPr>
        <w:t>一、托管协议当事人</w:t>
      </w:r>
      <w:bookmarkEnd w:id="4"/>
      <w:bookmarkEnd w:id="5"/>
      <w:bookmarkEnd w:id="6"/>
    </w:p>
    <w:p w14:paraId="77D57AFE" w14:textId="77777777" w:rsidR="008247B4" w:rsidRDefault="00CA50F3">
      <w:pPr>
        <w:pStyle w:val="1f3"/>
        <w:spacing w:before="100" w:beforeAutospacing="1" w:after="100" w:afterAutospacing="1" w:line="400" w:lineRule="exact"/>
        <w:ind w:firstLine="403"/>
        <w:rPr>
          <w:rFonts w:ascii="Arial" w:hAnsi="Arial"/>
        </w:rPr>
      </w:pPr>
      <w:r>
        <w:rPr>
          <w:rFonts w:ascii="Arial" w:hAnsi="Arial"/>
        </w:rPr>
        <w:t>（一）基金管理人（或简称</w:t>
      </w:r>
      <w:r>
        <w:rPr>
          <w:rFonts w:ascii="Arial" w:hAnsi="Arial"/>
        </w:rPr>
        <w:t>“</w:t>
      </w:r>
      <w:r>
        <w:rPr>
          <w:rFonts w:ascii="Arial" w:hAnsi="Arial"/>
        </w:rPr>
        <w:t>管理人</w:t>
      </w:r>
      <w:r>
        <w:rPr>
          <w:rFonts w:ascii="Arial" w:hAnsi="Arial"/>
        </w:rPr>
        <w:t>”</w:t>
      </w:r>
      <w:r>
        <w:rPr>
          <w:rFonts w:ascii="Arial" w:hAnsi="Arial"/>
        </w:rPr>
        <w:t>）</w:t>
      </w:r>
    </w:p>
    <w:p w14:paraId="53DC548A"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名称：嘉</w:t>
      </w:r>
      <w:proofErr w:type="gramStart"/>
      <w:r>
        <w:rPr>
          <w:rFonts w:ascii="Arial" w:hAnsi="Arial"/>
          <w:szCs w:val="21"/>
        </w:rPr>
        <w:t>实基金</w:t>
      </w:r>
      <w:proofErr w:type="gramEnd"/>
      <w:r>
        <w:rPr>
          <w:rFonts w:ascii="Arial" w:hAnsi="Arial"/>
          <w:szCs w:val="21"/>
        </w:rPr>
        <w:t>管理有限公司</w:t>
      </w:r>
    </w:p>
    <w:p w14:paraId="46A40C1F"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住所：</w:t>
      </w:r>
      <w:r>
        <w:rPr>
          <w:rFonts w:ascii="Arial" w:hAnsi="Arial" w:hint="eastAsia"/>
          <w:szCs w:val="21"/>
        </w:rPr>
        <w:t>中国（上海）自由贸易试验区陆家嘴环路</w:t>
      </w:r>
      <w:r>
        <w:rPr>
          <w:rFonts w:ascii="Arial" w:hAnsi="Arial" w:hint="eastAsia"/>
          <w:szCs w:val="21"/>
        </w:rPr>
        <w:t>1318</w:t>
      </w:r>
      <w:r>
        <w:rPr>
          <w:rFonts w:ascii="Arial" w:hAnsi="Arial" w:hint="eastAsia"/>
          <w:szCs w:val="21"/>
        </w:rPr>
        <w:t>号</w:t>
      </w:r>
      <w:r>
        <w:rPr>
          <w:rFonts w:ascii="Arial" w:hAnsi="Arial" w:hint="eastAsia"/>
          <w:szCs w:val="21"/>
        </w:rPr>
        <w:t>1806A</w:t>
      </w:r>
      <w:r>
        <w:rPr>
          <w:rFonts w:ascii="Arial" w:hAnsi="Arial" w:hint="eastAsia"/>
          <w:szCs w:val="21"/>
        </w:rPr>
        <w:t>单元</w:t>
      </w:r>
    </w:p>
    <w:p w14:paraId="1E71E0DF"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办公地址：北京市朝阳区建国门外大街</w:t>
      </w:r>
      <w:r>
        <w:rPr>
          <w:rFonts w:ascii="Arial" w:hAnsi="Arial"/>
          <w:szCs w:val="21"/>
        </w:rPr>
        <w:t>21</w:t>
      </w:r>
      <w:r>
        <w:rPr>
          <w:rFonts w:ascii="Arial" w:hAnsi="Arial"/>
          <w:szCs w:val="21"/>
        </w:rPr>
        <w:t>号北京国际俱乐部</w:t>
      </w:r>
      <w:r>
        <w:rPr>
          <w:rFonts w:ascii="Arial" w:hAnsi="Arial"/>
          <w:szCs w:val="21"/>
        </w:rPr>
        <w:t>C</w:t>
      </w:r>
      <w:r>
        <w:rPr>
          <w:rFonts w:ascii="Arial" w:hAnsi="Arial"/>
          <w:szCs w:val="21"/>
        </w:rPr>
        <w:t>座写字楼</w:t>
      </w:r>
      <w:r>
        <w:rPr>
          <w:rFonts w:ascii="Arial" w:hAnsi="Arial"/>
          <w:szCs w:val="21"/>
        </w:rPr>
        <w:t>12A</w:t>
      </w:r>
      <w:r>
        <w:rPr>
          <w:rFonts w:ascii="Arial" w:hAnsi="Arial"/>
          <w:szCs w:val="21"/>
        </w:rPr>
        <w:t>层</w:t>
      </w:r>
    </w:p>
    <w:p w14:paraId="11CC9C2A"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法定代表人：经雷</w:t>
      </w:r>
    </w:p>
    <w:p w14:paraId="718F9FDE"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成立时间：</w:t>
      </w:r>
      <w:r>
        <w:rPr>
          <w:rFonts w:ascii="Arial" w:hAnsi="Arial"/>
          <w:szCs w:val="21"/>
        </w:rPr>
        <w:t>1999</w:t>
      </w:r>
      <w:r>
        <w:rPr>
          <w:rFonts w:ascii="Arial" w:hAnsi="Arial"/>
          <w:szCs w:val="21"/>
        </w:rPr>
        <w:t>年</w:t>
      </w:r>
      <w:r>
        <w:rPr>
          <w:rFonts w:ascii="Arial" w:hAnsi="Arial"/>
          <w:szCs w:val="21"/>
        </w:rPr>
        <w:t>3</w:t>
      </w:r>
      <w:r>
        <w:rPr>
          <w:rFonts w:ascii="Arial" w:hAnsi="Arial"/>
          <w:szCs w:val="21"/>
        </w:rPr>
        <w:t>月</w:t>
      </w:r>
      <w:r>
        <w:rPr>
          <w:rFonts w:ascii="Arial" w:hAnsi="Arial"/>
          <w:szCs w:val="21"/>
        </w:rPr>
        <w:t>25</w:t>
      </w:r>
      <w:r>
        <w:rPr>
          <w:rFonts w:ascii="Arial" w:hAnsi="Arial"/>
          <w:szCs w:val="21"/>
        </w:rPr>
        <w:t>日</w:t>
      </w:r>
    </w:p>
    <w:p w14:paraId="2DF4F2B9"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批准设立机关：中国证券监督管理委员会</w:t>
      </w:r>
    </w:p>
    <w:p w14:paraId="29106C6A"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批准设立文号：中国证监会</w:t>
      </w:r>
      <w:proofErr w:type="gramStart"/>
      <w:r>
        <w:rPr>
          <w:rFonts w:ascii="Arial" w:hAnsi="Arial"/>
          <w:szCs w:val="21"/>
        </w:rPr>
        <w:t>证监基字</w:t>
      </w:r>
      <w:proofErr w:type="gramEnd"/>
      <w:r>
        <w:rPr>
          <w:rFonts w:ascii="Arial" w:hAnsi="Arial"/>
          <w:szCs w:val="21"/>
        </w:rPr>
        <w:t>【</w:t>
      </w:r>
      <w:r>
        <w:rPr>
          <w:rFonts w:ascii="Arial" w:hAnsi="Arial"/>
          <w:szCs w:val="21"/>
        </w:rPr>
        <w:t>1999</w:t>
      </w:r>
      <w:r>
        <w:rPr>
          <w:rFonts w:ascii="Arial" w:hAnsi="Arial"/>
          <w:szCs w:val="21"/>
        </w:rPr>
        <w:t>】</w:t>
      </w:r>
      <w:r>
        <w:rPr>
          <w:rFonts w:ascii="Arial" w:hAnsi="Arial"/>
          <w:szCs w:val="21"/>
        </w:rPr>
        <w:t>5</w:t>
      </w:r>
      <w:r>
        <w:rPr>
          <w:rFonts w:ascii="Arial" w:hAnsi="Arial"/>
          <w:szCs w:val="21"/>
        </w:rPr>
        <w:t>号</w:t>
      </w:r>
    </w:p>
    <w:p w14:paraId="761BE3BD" w14:textId="39AF0A7C"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组织形式：有限责任公司（</w:t>
      </w:r>
      <w:r>
        <w:rPr>
          <w:rFonts w:ascii="Arial" w:hAnsi="Arial" w:hint="eastAsia"/>
          <w:szCs w:val="21"/>
        </w:rPr>
        <w:t>外商投资、非独资</w:t>
      </w:r>
      <w:r>
        <w:rPr>
          <w:rFonts w:ascii="Arial" w:hAnsi="Arial"/>
          <w:szCs w:val="21"/>
        </w:rPr>
        <w:t>）</w:t>
      </w:r>
    </w:p>
    <w:p w14:paraId="26FCC392"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注册资本：</w:t>
      </w:r>
      <w:r>
        <w:rPr>
          <w:rFonts w:ascii="Arial" w:hAnsi="Arial"/>
          <w:szCs w:val="21"/>
        </w:rPr>
        <w:t>1.5</w:t>
      </w:r>
      <w:r>
        <w:rPr>
          <w:rFonts w:ascii="Arial" w:hAnsi="Arial"/>
          <w:szCs w:val="21"/>
        </w:rPr>
        <w:t>亿元人民币</w:t>
      </w:r>
    </w:p>
    <w:p w14:paraId="49E77FE5"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经营范围：基金募集、基金销售、资产管理及中国证监会许可的其他业务</w:t>
      </w:r>
    </w:p>
    <w:p w14:paraId="51225573"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lastRenderedPageBreak/>
        <w:t>存续期间：持续经营</w:t>
      </w:r>
    </w:p>
    <w:p w14:paraId="2D34EDC7" w14:textId="77777777" w:rsidR="008247B4" w:rsidRDefault="00CA50F3">
      <w:pPr>
        <w:pStyle w:val="15"/>
        <w:spacing w:before="100" w:beforeAutospacing="1" w:after="100" w:afterAutospacing="1" w:line="400" w:lineRule="exact"/>
        <w:ind w:right="26" w:firstLine="403"/>
        <w:rPr>
          <w:rFonts w:ascii="Arial" w:hAnsi="Arial"/>
          <w:szCs w:val="21"/>
        </w:rPr>
      </w:pPr>
      <w:r>
        <w:rPr>
          <w:rFonts w:ascii="Arial" w:hAnsi="Arial"/>
          <w:szCs w:val="21"/>
        </w:rPr>
        <w:t>（二）基金托管人（或简称</w:t>
      </w:r>
      <w:r>
        <w:rPr>
          <w:rFonts w:ascii="Arial" w:hAnsi="Arial"/>
          <w:szCs w:val="21"/>
        </w:rPr>
        <w:t>“</w:t>
      </w:r>
      <w:r>
        <w:rPr>
          <w:rFonts w:ascii="Arial" w:hAnsi="Arial"/>
          <w:szCs w:val="21"/>
        </w:rPr>
        <w:t>托管人</w:t>
      </w:r>
      <w:r>
        <w:rPr>
          <w:rFonts w:ascii="Arial" w:hAnsi="Arial"/>
          <w:szCs w:val="21"/>
        </w:rPr>
        <w:t>”</w:t>
      </w:r>
      <w:r>
        <w:rPr>
          <w:rFonts w:ascii="Arial" w:hAnsi="Arial"/>
          <w:szCs w:val="21"/>
        </w:rPr>
        <w:t>）</w:t>
      </w:r>
    </w:p>
    <w:p w14:paraId="053357C3"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名称：国金证券股份有限公司</w:t>
      </w:r>
    </w:p>
    <w:p w14:paraId="1DBA8EBC"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住所：四川省成都市东城根上街</w:t>
      </w:r>
      <w:r w:rsidRPr="0000296A">
        <w:rPr>
          <w:rFonts w:ascii="Arial" w:hAnsi="Arial" w:hint="eastAsia"/>
          <w:szCs w:val="21"/>
        </w:rPr>
        <w:t>95</w:t>
      </w:r>
      <w:r w:rsidRPr="0000296A">
        <w:rPr>
          <w:rFonts w:ascii="Arial" w:hAnsi="Arial" w:hint="eastAsia"/>
          <w:szCs w:val="21"/>
        </w:rPr>
        <w:t>号</w:t>
      </w:r>
    </w:p>
    <w:p w14:paraId="1902934C"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办公地址：四川省成都市青羊区东城根上街</w:t>
      </w:r>
      <w:r w:rsidRPr="0000296A">
        <w:rPr>
          <w:rFonts w:ascii="Arial" w:hAnsi="Arial" w:hint="eastAsia"/>
          <w:szCs w:val="21"/>
        </w:rPr>
        <w:t>95</w:t>
      </w:r>
      <w:r w:rsidRPr="0000296A">
        <w:rPr>
          <w:rFonts w:ascii="Arial" w:hAnsi="Arial" w:hint="eastAsia"/>
          <w:szCs w:val="21"/>
        </w:rPr>
        <w:t>号</w:t>
      </w:r>
      <w:r w:rsidRPr="0000296A">
        <w:rPr>
          <w:rFonts w:ascii="Arial" w:hAnsi="Arial" w:hint="eastAsia"/>
          <w:szCs w:val="21"/>
        </w:rPr>
        <w:t>13</w:t>
      </w:r>
      <w:r w:rsidRPr="0000296A">
        <w:rPr>
          <w:rFonts w:ascii="Arial" w:hAnsi="Arial" w:hint="eastAsia"/>
          <w:szCs w:val="21"/>
        </w:rPr>
        <w:t>楼、上海市浦东新区芳</w:t>
      </w:r>
      <w:proofErr w:type="gramStart"/>
      <w:r w:rsidRPr="0000296A">
        <w:rPr>
          <w:rFonts w:ascii="Arial" w:hAnsi="Arial" w:hint="eastAsia"/>
          <w:szCs w:val="21"/>
        </w:rPr>
        <w:t>甸</w:t>
      </w:r>
      <w:proofErr w:type="gramEnd"/>
      <w:r w:rsidRPr="0000296A">
        <w:rPr>
          <w:rFonts w:ascii="Arial" w:hAnsi="Arial" w:hint="eastAsia"/>
          <w:szCs w:val="21"/>
        </w:rPr>
        <w:t>路</w:t>
      </w:r>
      <w:r w:rsidRPr="0000296A">
        <w:rPr>
          <w:rFonts w:ascii="Arial" w:hAnsi="Arial" w:hint="eastAsia"/>
          <w:szCs w:val="21"/>
        </w:rPr>
        <w:t>1088</w:t>
      </w:r>
      <w:r w:rsidRPr="0000296A">
        <w:rPr>
          <w:rFonts w:ascii="Arial" w:hAnsi="Arial" w:hint="eastAsia"/>
          <w:szCs w:val="21"/>
        </w:rPr>
        <w:t>号</w:t>
      </w:r>
      <w:r w:rsidRPr="0000296A">
        <w:rPr>
          <w:rFonts w:ascii="Arial" w:hAnsi="Arial" w:hint="eastAsia"/>
          <w:szCs w:val="21"/>
        </w:rPr>
        <w:t>18</w:t>
      </w:r>
      <w:r w:rsidRPr="0000296A">
        <w:rPr>
          <w:rFonts w:ascii="Arial" w:hAnsi="Arial" w:hint="eastAsia"/>
          <w:szCs w:val="21"/>
        </w:rPr>
        <w:t>楼</w:t>
      </w:r>
    </w:p>
    <w:p w14:paraId="12D98BA6"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法定代表人：冉云</w:t>
      </w:r>
    </w:p>
    <w:p w14:paraId="3ECF2C42"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成立时间：</w:t>
      </w:r>
      <w:r w:rsidRPr="0000296A">
        <w:rPr>
          <w:rFonts w:ascii="Arial" w:hAnsi="Arial" w:hint="eastAsia"/>
          <w:szCs w:val="21"/>
        </w:rPr>
        <w:t>1996</w:t>
      </w:r>
      <w:r w:rsidRPr="0000296A">
        <w:rPr>
          <w:rFonts w:ascii="Arial" w:hAnsi="Arial" w:hint="eastAsia"/>
          <w:szCs w:val="21"/>
        </w:rPr>
        <w:t>年</w:t>
      </w:r>
      <w:r w:rsidRPr="0000296A">
        <w:rPr>
          <w:rFonts w:ascii="Arial" w:hAnsi="Arial" w:hint="eastAsia"/>
          <w:szCs w:val="21"/>
        </w:rPr>
        <w:t>12</w:t>
      </w:r>
      <w:r w:rsidRPr="0000296A">
        <w:rPr>
          <w:rFonts w:ascii="Arial" w:hAnsi="Arial" w:hint="eastAsia"/>
          <w:szCs w:val="21"/>
        </w:rPr>
        <w:t>月</w:t>
      </w:r>
      <w:r w:rsidRPr="0000296A">
        <w:rPr>
          <w:rFonts w:ascii="Arial" w:hAnsi="Arial" w:hint="eastAsia"/>
          <w:szCs w:val="21"/>
        </w:rPr>
        <w:t>20</w:t>
      </w:r>
      <w:r w:rsidRPr="0000296A">
        <w:rPr>
          <w:rFonts w:ascii="Arial" w:hAnsi="Arial" w:hint="eastAsia"/>
          <w:szCs w:val="21"/>
        </w:rPr>
        <w:t>日</w:t>
      </w:r>
    </w:p>
    <w:p w14:paraId="2CE1A85C"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批准设立机关及批准设立文号：中国人民银行银复</w:t>
      </w:r>
      <w:r w:rsidRPr="0000296A">
        <w:rPr>
          <w:rFonts w:ascii="Arial" w:hAnsi="Arial" w:hint="eastAsia"/>
          <w:szCs w:val="21"/>
        </w:rPr>
        <w:t>[1990]498</w:t>
      </w:r>
      <w:r w:rsidRPr="0000296A">
        <w:rPr>
          <w:rFonts w:ascii="Arial" w:hAnsi="Arial" w:hint="eastAsia"/>
          <w:szCs w:val="21"/>
        </w:rPr>
        <w:t>号</w:t>
      </w:r>
    </w:p>
    <w:p w14:paraId="680496BA"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组织形式：股份有限公司</w:t>
      </w:r>
    </w:p>
    <w:p w14:paraId="13175E73"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注册资本：</w:t>
      </w:r>
      <w:r w:rsidRPr="0000296A">
        <w:rPr>
          <w:rFonts w:ascii="Arial" w:hAnsi="Arial" w:hint="eastAsia"/>
          <w:szCs w:val="21"/>
        </w:rPr>
        <w:t>3,724,359,310</w:t>
      </w:r>
      <w:r w:rsidRPr="0000296A">
        <w:rPr>
          <w:rFonts w:ascii="Arial" w:hAnsi="Arial" w:hint="eastAsia"/>
          <w:szCs w:val="21"/>
        </w:rPr>
        <w:t>元人民币</w:t>
      </w:r>
    </w:p>
    <w:p w14:paraId="028F2571" w14:textId="77777777" w:rsidR="0000296A" w:rsidRPr="0000296A" w:rsidRDefault="0000296A" w:rsidP="0000296A">
      <w:pPr>
        <w:pStyle w:val="15"/>
        <w:spacing w:before="100" w:beforeAutospacing="1" w:after="100" w:afterAutospacing="1" w:line="400" w:lineRule="exact"/>
        <w:ind w:right="26" w:firstLine="403"/>
        <w:rPr>
          <w:rFonts w:ascii="Arial" w:hAnsi="Arial"/>
          <w:szCs w:val="21"/>
        </w:rPr>
      </w:pPr>
      <w:r w:rsidRPr="0000296A">
        <w:rPr>
          <w:rFonts w:ascii="Arial" w:hAnsi="Arial" w:hint="eastAsia"/>
          <w:szCs w:val="21"/>
        </w:rPr>
        <w:t>存续期间：持续经营</w:t>
      </w:r>
    </w:p>
    <w:p w14:paraId="6D2EFEE1" w14:textId="27F74AE7" w:rsidR="008247B4" w:rsidRDefault="0000296A">
      <w:pPr>
        <w:pStyle w:val="15"/>
        <w:spacing w:before="100" w:beforeAutospacing="1" w:after="100" w:afterAutospacing="1" w:line="400" w:lineRule="exact"/>
        <w:ind w:firstLine="403"/>
        <w:rPr>
          <w:rFonts w:ascii="Arial" w:hAnsi="Arial"/>
          <w:szCs w:val="21"/>
        </w:rPr>
      </w:pPr>
      <w:r w:rsidRPr="0000296A">
        <w:rPr>
          <w:rFonts w:ascii="Arial" w:hAnsi="Arial" w:hint="eastAsia"/>
          <w:szCs w:val="21"/>
        </w:rPr>
        <w:t>基金托管业务批准文号：证监许可〔</w:t>
      </w:r>
      <w:r w:rsidRPr="0000296A">
        <w:rPr>
          <w:rFonts w:ascii="Arial" w:hAnsi="Arial" w:hint="eastAsia"/>
          <w:szCs w:val="21"/>
        </w:rPr>
        <w:t>2017</w:t>
      </w:r>
      <w:r w:rsidRPr="0000296A">
        <w:rPr>
          <w:rFonts w:ascii="Arial" w:hAnsi="Arial" w:hint="eastAsia"/>
          <w:szCs w:val="21"/>
        </w:rPr>
        <w:t>〕</w:t>
      </w:r>
      <w:r w:rsidRPr="0000296A">
        <w:rPr>
          <w:rFonts w:ascii="Arial" w:hAnsi="Arial" w:hint="eastAsia"/>
          <w:szCs w:val="21"/>
        </w:rPr>
        <w:t>990</w:t>
      </w:r>
      <w:r w:rsidRPr="0000296A">
        <w:rPr>
          <w:rFonts w:ascii="Arial" w:hAnsi="Arial" w:hint="eastAsia"/>
          <w:szCs w:val="21"/>
        </w:rPr>
        <w:t>号</w:t>
      </w:r>
      <w:bookmarkEnd w:id="7"/>
    </w:p>
    <w:p w14:paraId="3EF4E836" w14:textId="77777777" w:rsidR="008247B4" w:rsidRDefault="00CA50F3">
      <w:pPr>
        <w:pStyle w:val="116"/>
        <w:spacing w:before="100" w:beforeAutospacing="1" w:after="100" w:afterAutospacing="1" w:line="400" w:lineRule="exact"/>
        <w:ind w:firstLine="422"/>
        <w:rPr>
          <w:rFonts w:ascii="Arial" w:hAnsi="Arial"/>
          <w:sz w:val="21"/>
          <w:szCs w:val="21"/>
        </w:rPr>
      </w:pPr>
      <w:bookmarkStart w:id="8" w:name="_Toc116900097"/>
      <w:bookmarkStart w:id="9" w:name="_Toc202171863"/>
      <w:r>
        <w:rPr>
          <w:rFonts w:ascii="Arial" w:hAnsi="Arial"/>
          <w:sz w:val="21"/>
          <w:szCs w:val="21"/>
        </w:rPr>
        <w:t>二、托管协议的依据、目的、原则和解释</w:t>
      </w:r>
      <w:bookmarkEnd w:id="8"/>
      <w:bookmarkEnd w:id="9"/>
    </w:p>
    <w:p w14:paraId="547D3DCD" w14:textId="77777777" w:rsidR="008247B4" w:rsidRDefault="00CA50F3">
      <w:pPr>
        <w:pStyle w:val="15"/>
        <w:spacing w:before="100" w:beforeAutospacing="1" w:after="100" w:afterAutospacing="1" w:line="400" w:lineRule="exact"/>
        <w:ind w:firstLine="403"/>
        <w:rPr>
          <w:rFonts w:ascii="Arial" w:hAnsi="Arial"/>
          <w:szCs w:val="21"/>
        </w:rPr>
      </w:pPr>
      <w:r>
        <w:rPr>
          <w:rFonts w:ascii="Arial" w:hAnsi="Arial"/>
          <w:szCs w:val="21"/>
        </w:rPr>
        <w:t>（一）依据</w:t>
      </w:r>
    </w:p>
    <w:p w14:paraId="63B8C7AC" w14:textId="550156E9" w:rsidR="008247B4" w:rsidRDefault="00CA50F3">
      <w:pPr>
        <w:pStyle w:val="15"/>
        <w:spacing w:before="100" w:beforeAutospacing="1" w:after="100" w:afterAutospacing="1" w:line="400" w:lineRule="exact"/>
        <w:ind w:firstLine="403"/>
        <w:rPr>
          <w:rFonts w:ascii="Arial" w:hAnsi="Arial"/>
          <w:szCs w:val="21"/>
        </w:rPr>
      </w:pPr>
      <w:r>
        <w:rPr>
          <w:rFonts w:ascii="Arial" w:hAnsi="Arial"/>
          <w:szCs w:val="21"/>
        </w:rPr>
        <w:t>本协议依据《中华人民共和国民法典》、《中华人民共和国证券法》</w:t>
      </w:r>
      <w:r>
        <w:rPr>
          <w:rFonts w:ascii="Arial" w:hAnsi="Arial"/>
          <w:szCs w:val="21"/>
        </w:rPr>
        <w:t>(</w:t>
      </w:r>
      <w:r>
        <w:rPr>
          <w:rFonts w:ascii="Arial" w:hAnsi="Arial"/>
          <w:szCs w:val="21"/>
        </w:rPr>
        <w:t>以下简称</w:t>
      </w:r>
      <w:r>
        <w:rPr>
          <w:rFonts w:ascii="Arial" w:hAnsi="Arial"/>
          <w:szCs w:val="21"/>
        </w:rPr>
        <w:t>“</w:t>
      </w:r>
      <w:r>
        <w:rPr>
          <w:rFonts w:ascii="Arial" w:hAnsi="Arial"/>
          <w:szCs w:val="21"/>
        </w:rPr>
        <w:t>《证券法》</w:t>
      </w:r>
      <w:r>
        <w:rPr>
          <w:rFonts w:ascii="Arial" w:hAnsi="Arial"/>
          <w:szCs w:val="21"/>
        </w:rPr>
        <w:t>”)</w:t>
      </w:r>
      <w:r>
        <w:rPr>
          <w:rFonts w:ascii="Arial" w:hAnsi="Arial"/>
          <w:szCs w:val="21"/>
        </w:rPr>
        <w:t>、《中华人民共和国证券投资基金法》（以下简称</w:t>
      </w:r>
      <w:r>
        <w:rPr>
          <w:rFonts w:ascii="Arial" w:hAnsi="Arial"/>
          <w:szCs w:val="21"/>
        </w:rPr>
        <w:t>“</w:t>
      </w:r>
      <w:r>
        <w:rPr>
          <w:rFonts w:ascii="Arial" w:hAnsi="Arial"/>
          <w:szCs w:val="21"/>
        </w:rPr>
        <w:t>《基金法》</w:t>
      </w:r>
      <w:r>
        <w:rPr>
          <w:rFonts w:ascii="Arial" w:hAnsi="Arial"/>
          <w:szCs w:val="21"/>
        </w:rPr>
        <w:t>”</w:t>
      </w:r>
      <w:r>
        <w:rPr>
          <w:rFonts w:ascii="Arial" w:hAnsi="Arial"/>
          <w:szCs w:val="21"/>
        </w:rPr>
        <w:t>）、《公开募集证券投资基金运作管理办法》（以下简称</w:t>
      </w:r>
      <w:r>
        <w:rPr>
          <w:rFonts w:ascii="Arial" w:hAnsi="Arial"/>
          <w:szCs w:val="21"/>
        </w:rPr>
        <w:t>“</w:t>
      </w:r>
      <w:r>
        <w:rPr>
          <w:rFonts w:ascii="Arial" w:hAnsi="Arial"/>
          <w:szCs w:val="21"/>
        </w:rPr>
        <w:t>《运作办法》</w:t>
      </w:r>
      <w:r>
        <w:rPr>
          <w:rFonts w:ascii="Arial" w:hAnsi="Arial"/>
          <w:szCs w:val="21"/>
        </w:rPr>
        <w:t>”</w:t>
      </w:r>
      <w:r>
        <w:rPr>
          <w:rFonts w:ascii="Arial" w:hAnsi="Arial"/>
          <w:szCs w:val="21"/>
        </w:rPr>
        <w:t>）、《公开募集证券投资基金销售机构监督管理办法》、《公开募集证券投资基金信息披露管理办法》（以下简称</w:t>
      </w:r>
      <w:r>
        <w:rPr>
          <w:rFonts w:ascii="Arial" w:hAnsi="Arial"/>
          <w:szCs w:val="21"/>
        </w:rPr>
        <w:t>“</w:t>
      </w:r>
      <w:r>
        <w:rPr>
          <w:rFonts w:ascii="Arial" w:hAnsi="Arial"/>
          <w:szCs w:val="21"/>
        </w:rPr>
        <w:t>《信息披露办法》</w:t>
      </w:r>
      <w:r>
        <w:rPr>
          <w:rFonts w:ascii="Arial" w:hAnsi="Arial"/>
          <w:szCs w:val="21"/>
        </w:rPr>
        <w:t>”</w:t>
      </w:r>
      <w:r>
        <w:rPr>
          <w:rFonts w:ascii="Arial" w:hAnsi="Arial"/>
          <w:szCs w:val="21"/>
        </w:rPr>
        <w:t>）、《公开募集开放式证券投资基金流动性风险管理规定》</w:t>
      </w:r>
      <w:r>
        <w:rPr>
          <w:rFonts w:ascii="Arial" w:hAnsi="Arial"/>
          <w:szCs w:val="21"/>
        </w:rPr>
        <w:t>(</w:t>
      </w:r>
      <w:r>
        <w:rPr>
          <w:rFonts w:ascii="Arial" w:hAnsi="Arial"/>
          <w:szCs w:val="21"/>
        </w:rPr>
        <w:t>以下简称</w:t>
      </w:r>
      <w:r>
        <w:rPr>
          <w:rFonts w:ascii="Arial" w:hAnsi="Arial"/>
          <w:szCs w:val="21"/>
        </w:rPr>
        <w:t>“</w:t>
      </w:r>
      <w:r>
        <w:rPr>
          <w:rFonts w:ascii="Arial" w:hAnsi="Arial"/>
          <w:szCs w:val="21"/>
        </w:rPr>
        <w:t>《流动性风险管理规定》</w:t>
      </w:r>
      <w:r>
        <w:rPr>
          <w:rFonts w:ascii="Arial" w:hAnsi="Arial"/>
          <w:szCs w:val="21"/>
        </w:rPr>
        <w:t>”)</w:t>
      </w:r>
      <w:r w:rsidR="008940E4">
        <w:rPr>
          <w:rFonts w:ascii="Arial" w:hAnsi="Arial" w:hint="eastAsia"/>
          <w:szCs w:val="21"/>
        </w:rPr>
        <w:t>、</w:t>
      </w:r>
      <w:r w:rsidR="008940E4" w:rsidRPr="008940E4">
        <w:rPr>
          <w:rFonts w:ascii="Arial" w:hAnsi="Arial" w:hint="eastAsia"/>
          <w:szCs w:val="21"/>
        </w:rPr>
        <w:t>《公开募集证券投资基金运作指引第</w:t>
      </w:r>
      <w:r w:rsidR="008940E4" w:rsidRPr="008940E4">
        <w:rPr>
          <w:rFonts w:ascii="Arial" w:hAnsi="Arial" w:hint="eastAsia"/>
          <w:szCs w:val="21"/>
        </w:rPr>
        <w:t>3</w:t>
      </w:r>
      <w:r w:rsidR="008940E4" w:rsidRPr="008940E4">
        <w:rPr>
          <w:rFonts w:ascii="Arial" w:hAnsi="Arial" w:hint="eastAsia"/>
          <w:szCs w:val="21"/>
        </w:rPr>
        <w:t>号——指数基金指引》（以下简称“《指数基金指引》”）</w:t>
      </w:r>
      <w:r>
        <w:rPr>
          <w:rFonts w:ascii="Arial" w:hAnsi="Arial"/>
          <w:szCs w:val="21"/>
        </w:rPr>
        <w:t>及其他有关法律法规与《</w:t>
      </w:r>
      <w:r w:rsidR="00000C48">
        <w:rPr>
          <w:rFonts w:ascii="Arial" w:hAnsi="Arial" w:hint="eastAsia"/>
          <w:szCs w:val="21"/>
        </w:rPr>
        <w:t>嘉实</w:t>
      </w:r>
      <w:r w:rsidR="0000296A">
        <w:rPr>
          <w:rFonts w:ascii="Arial" w:hAnsi="Arial" w:hint="eastAsia"/>
          <w:szCs w:val="21"/>
        </w:rPr>
        <w:t>恒指港股通</w:t>
      </w:r>
      <w:r w:rsidR="00000C48">
        <w:rPr>
          <w:rFonts w:ascii="Arial" w:hAnsi="Arial" w:hint="eastAsia"/>
          <w:szCs w:val="21"/>
        </w:rPr>
        <w:t>交易型开放式指数证券投资基金</w:t>
      </w:r>
      <w:r>
        <w:rPr>
          <w:rFonts w:ascii="Arial" w:hAnsi="Arial"/>
          <w:szCs w:val="21"/>
        </w:rPr>
        <w:t>基金合同》（以下简称</w:t>
      </w:r>
      <w:r>
        <w:rPr>
          <w:rFonts w:ascii="Arial" w:hAnsi="Arial"/>
          <w:szCs w:val="21"/>
        </w:rPr>
        <w:t>“</w:t>
      </w:r>
      <w:r>
        <w:rPr>
          <w:rFonts w:ascii="Arial" w:hAnsi="Arial"/>
          <w:szCs w:val="21"/>
        </w:rPr>
        <w:t>《基金合同》</w:t>
      </w:r>
      <w:r>
        <w:rPr>
          <w:rFonts w:ascii="Arial" w:hAnsi="Arial"/>
          <w:szCs w:val="21"/>
        </w:rPr>
        <w:t>”</w:t>
      </w:r>
      <w:r>
        <w:rPr>
          <w:rFonts w:ascii="Arial" w:hAnsi="Arial"/>
          <w:szCs w:val="21"/>
        </w:rPr>
        <w:t>）订立。</w:t>
      </w:r>
    </w:p>
    <w:p w14:paraId="42D10865" w14:textId="77777777" w:rsidR="008247B4" w:rsidRDefault="00CA50F3">
      <w:pPr>
        <w:pStyle w:val="15"/>
        <w:spacing w:before="100" w:beforeAutospacing="1" w:after="100" w:afterAutospacing="1" w:line="400" w:lineRule="exact"/>
        <w:ind w:firstLine="403"/>
        <w:rPr>
          <w:rFonts w:ascii="Arial" w:hAnsi="Arial"/>
          <w:szCs w:val="21"/>
        </w:rPr>
      </w:pPr>
      <w:r>
        <w:rPr>
          <w:rFonts w:ascii="Arial" w:hAnsi="Arial"/>
          <w:szCs w:val="21"/>
        </w:rPr>
        <w:t>（二）目的</w:t>
      </w:r>
    </w:p>
    <w:p w14:paraId="683BEEA5" w14:textId="2F6FFE10" w:rsidR="008247B4" w:rsidRDefault="00CA50F3">
      <w:pPr>
        <w:pStyle w:val="15"/>
        <w:spacing w:before="100" w:beforeAutospacing="1" w:after="100" w:afterAutospacing="1" w:line="400" w:lineRule="exact"/>
        <w:ind w:firstLine="403"/>
        <w:rPr>
          <w:rFonts w:ascii="Arial" w:hAnsi="Arial"/>
          <w:szCs w:val="21"/>
        </w:rPr>
      </w:pPr>
      <w:r>
        <w:rPr>
          <w:rFonts w:ascii="Arial" w:hAnsi="Arial"/>
          <w:szCs w:val="21"/>
        </w:rPr>
        <w:lastRenderedPageBreak/>
        <w:t>订立本协议的目的是</w:t>
      </w:r>
      <w:proofErr w:type="gramStart"/>
      <w:r>
        <w:rPr>
          <w:rFonts w:ascii="Arial" w:hAnsi="Arial"/>
          <w:szCs w:val="21"/>
        </w:rPr>
        <w:t>明确</w:t>
      </w:r>
      <w:r w:rsidR="00000C48">
        <w:rPr>
          <w:rFonts w:ascii="Arial" w:hAnsi="Arial" w:hint="eastAsia"/>
          <w:szCs w:val="21"/>
        </w:rPr>
        <w:t>嘉</w:t>
      </w:r>
      <w:proofErr w:type="gramEnd"/>
      <w:r w:rsidR="00000C48">
        <w:rPr>
          <w:rFonts w:ascii="Arial" w:hAnsi="Arial" w:hint="eastAsia"/>
          <w:szCs w:val="21"/>
        </w:rPr>
        <w:t>实</w:t>
      </w:r>
      <w:r w:rsidR="0000296A">
        <w:rPr>
          <w:rFonts w:ascii="Arial" w:hAnsi="Arial" w:hint="eastAsia"/>
          <w:szCs w:val="21"/>
        </w:rPr>
        <w:t>恒指港股</w:t>
      </w:r>
      <w:proofErr w:type="gramStart"/>
      <w:r w:rsidR="0000296A">
        <w:rPr>
          <w:rFonts w:ascii="Arial" w:hAnsi="Arial" w:hint="eastAsia"/>
          <w:szCs w:val="21"/>
        </w:rPr>
        <w:t>通</w:t>
      </w:r>
      <w:r w:rsidR="00000C48">
        <w:rPr>
          <w:rFonts w:ascii="Arial" w:hAnsi="Arial" w:hint="eastAsia"/>
          <w:szCs w:val="21"/>
        </w:rPr>
        <w:t>交易</w:t>
      </w:r>
      <w:proofErr w:type="gramEnd"/>
      <w:r w:rsidR="00000C48">
        <w:rPr>
          <w:rFonts w:ascii="Arial" w:hAnsi="Arial" w:hint="eastAsia"/>
          <w:szCs w:val="21"/>
        </w:rPr>
        <w:t>型开放式指数证券投资基金</w:t>
      </w:r>
      <w:r w:rsidR="00234B8F">
        <w:rPr>
          <w:rFonts w:ascii="Arial" w:hAnsi="Arial" w:hint="eastAsia"/>
          <w:szCs w:val="21"/>
        </w:rPr>
        <w:t>的</w:t>
      </w:r>
      <w:r>
        <w:rPr>
          <w:rFonts w:ascii="Arial" w:hAnsi="Arial"/>
          <w:szCs w:val="21"/>
        </w:rPr>
        <w:t>基金托管人和基金管理人之间在基金财产的保管、投资运作、净值计算、收益分配、信息披露、基金份额持有人名册的建立和保管及相互监督等相关事宜中的权利、义务及职责，确保基金财产的安全，保护基金份额持有人的合法权益。</w:t>
      </w:r>
    </w:p>
    <w:p w14:paraId="5E3F159E" w14:textId="77777777" w:rsidR="008247B4" w:rsidRDefault="00CA50F3">
      <w:pPr>
        <w:pStyle w:val="15"/>
        <w:spacing w:before="100" w:beforeAutospacing="1" w:after="100" w:afterAutospacing="1" w:line="400" w:lineRule="exact"/>
        <w:ind w:firstLine="403"/>
        <w:rPr>
          <w:rFonts w:ascii="Arial" w:hAnsi="Arial"/>
          <w:szCs w:val="21"/>
        </w:rPr>
      </w:pPr>
      <w:r>
        <w:rPr>
          <w:rFonts w:ascii="Arial" w:hAnsi="Arial"/>
          <w:szCs w:val="21"/>
        </w:rPr>
        <w:t>（三）原则</w:t>
      </w:r>
    </w:p>
    <w:p w14:paraId="352D3AE5" w14:textId="77777777" w:rsidR="008247B4" w:rsidRDefault="00CA50F3">
      <w:pPr>
        <w:pStyle w:val="15"/>
        <w:spacing w:before="100" w:beforeAutospacing="1" w:after="100" w:afterAutospacing="1" w:line="400" w:lineRule="exact"/>
        <w:ind w:firstLine="403"/>
        <w:rPr>
          <w:rFonts w:ascii="Arial" w:hAnsi="Arial"/>
          <w:szCs w:val="21"/>
        </w:rPr>
      </w:pPr>
      <w:r>
        <w:rPr>
          <w:rFonts w:ascii="Arial" w:hAnsi="Arial"/>
          <w:szCs w:val="21"/>
        </w:rPr>
        <w:t>基金管理人和基金托管人本着平等自愿、诚实信用的原则，经协商一致，签订本协议。</w:t>
      </w:r>
    </w:p>
    <w:p w14:paraId="23393DA2" w14:textId="77777777" w:rsidR="008247B4" w:rsidRDefault="00CA50F3">
      <w:pPr>
        <w:pStyle w:val="15"/>
        <w:spacing w:before="100" w:beforeAutospacing="1" w:after="100" w:afterAutospacing="1" w:line="400" w:lineRule="exact"/>
        <w:ind w:firstLine="403"/>
        <w:rPr>
          <w:rFonts w:ascii="Arial" w:hAnsi="Arial"/>
          <w:szCs w:val="21"/>
        </w:rPr>
      </w:pPr>
      <w:r>
        <w:rPr>
          <w:rFonts w:ascii="Arial" w:hAnsi="Arial"/>
          <w:szCs w:val="21"/>
        </w:rPr>
        <w:t>（四）解释</w:t>
      </w:r>
    </w:p>
    <w:p w14:paraId="65FE2C8B" w14:textId="77777777" w:rsidR="008247B4" w:rsidRDefault="00CA50F3">
      <w:pPr>
        <w:pStyle w:val="15"/>
        <w:spacing w:before="100" w:beforeAutospacing="1" w:after="100" w:afterAutospacing="1" w:line="400" w:lineRule="exact"/>
        <w:ind w:firstLine="403"/>
        <w:rPr>
          <w:rFonts w:ascii="Arial" w:hAnsi="Arial"/>
          <w:szCs w:val="21"/>
        </w:rPr>
      </w:pPr>
      <w:r>
        <w:rPr>
          <w:rFonts w:ascii="Arial" w:hAnsi="Arial"/>
          <w:szCs w:val="21"/>
        </w:rPr>
        <w:t>除非文义另有所指，本协议的所有术语与</w:t>
      </w:r>
      <w:bookmarkStart w:id="10" w:name="OLE_LINK3"/>
      <w:r>
        <w:rPr>
          <w:rFonts w:ascii="Arial" w:hAnsi="Arial"/>
          <w:szCs w:val="21"/>
        </w:rPr>
        <w:t>《基金合同》</w:t>
      </w:r>
      <w:bookmarkEnd w:id="10"/>
      <w:r>
        <w:rPr>
          <w:rFonts w:ascii="Arial" w:hAnsi="Arial"/>
          <w:szCs w:val="21"/>
        </w:rPr>
        <w:t>的相应术语具有相同含义。若有抵触的，应以《基金合同》为准，并依其条款解释。</w:t>
      </w:r>
    </w:p>
    <w:p w14:paraId="62FFAF47" w14:textId="77777777" w:rsidR="008247B4" w:rsidRDefault="008247B4">
      <w:pPr>
        <w:pStyle w:val="1f"/>
        <w:spacing w:before="100" w:beforeAutospacing="1" w:after="100" w:afterAutospacing="1"/>
        <w:ind w:firstLine="403"/>
        <w:rPr>
          <w:rFonts w:ascii="Arial" w:eastAsia="宋体" w:hAnsi="Arial"/>
          <w:color w:val="auto"/>
          <w:sz w:val="21"/>
          <w:szCs w:val="21"/>
        </w:rPr>
      </w:pPr>
    </w:p>
    <w:p w14:paraId="05F42E62" w14:textId="77777777" w:rsidR="008247B4" w:rsidRDefault="00CA50F3">
      <w:pPr>
        <w:pStyle w:val="116"/>
        <w:spacing w:before="100" w:beforeAutospacing="1" w:after="100" w:afterAutospacing="1" w:line="400" w:lineRule="exact"/>
        <w:ind w:firstLine="422"/>
        <w:rPr>
          <w:rFonts w:ascii="Arial" w:hAnsi="Arial"/>
          <w:sz w:val="21"/>
          <w:szCs w:val="21"/>
        </w:rPr>
      </w:pPr>
      <w:bookmarkStart w:id="11" w:name="_Toc116900098"/>
      <w:bookmarkStart w:id="12" w:name="_Toc202171864"/>
      <w:bookmarkStart w:id="13" w:name="OLE_LINK75"/>
      <w:r>
        <w:rPr>
          <w:rFonts w:ascii="Arial" w:hAnsi="Arial"/>
          <w:sz w:val="21"/>
          <w:szCs w:val="21"/>
        </w:rPr>
        <w:t>三、基金托管人对基金管理人的业务监督和核查</w:t>
      </w:r>
      <w:bookmarkEnd w:id="11"/>
      <w:bookmarkEnd w:id="12"/>
    </w:p>
    <w:p w14:paraId="03A4152F"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（一）基金托管人根据有关法律法规的规定，对基金管理人的下列投资运作进行监督</w:t>
      </w:r>
    </w:p>
    <w:p w14:paraId="48CD6CAA"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1</w:t>
      </w:r>
      <w:r>
        <w:rPr>
          <w:rFonts w:ascii="Arial" w:hAnsi="Arial"/>
          <w:szCs w:val="21"/>
        </w:rPr>
        <w:t>、对基金的投资范围、投资对象进行监督。</w:t>
      </w:r>
    </w:p>
    <w:p w14:paraId="51881478" w14:textId="77777777" w:rsidR="00111350" w:rsidRDefault="00111350" w:rsidP="00344B87">
      <w:pPr>
        <w:pStyle w:val="15"/>
        <w:spacing w:before="100" w:beforeAutospacing="1" w:after="100" w:afterAutospacing="1" w:line="400" w:lineRule="exact"/>
        <w:ind w:firstLine="420"/>
        <w:rPr>
          <w:rFonts w:ascii="Arial" w:hAnsi="Arial"/>
          <w:szCs w:val="21"/>
        </w:rPr>
      </w:pPr>
      <w:bookmarkStart w:id="14" w:name="_Hlk98693951"/>
      <w:bookmarkStart w:id="15" w:name="_Hlk31880124"/>
      <w:r w:rsidRPr="00111350">
        <w:rPr>
          <w:rFonts w:ascii="Arial" w:hAnsi="Arial" w:hint="eastAsia"/>
          <w:szCs w:val="21"/>
        </w:rPr>
        <w:t>本基金的投资范围主要为标的指数成份股和备选成份股（</w:t>
      </w:r>
      <w:proofErr w:type="gramStart"/>
      <w:r w:rsidRPr="00111350">
        <w:rPr>
          <w:rFonts w:ascii="Arial" w:hAnsi="Arial" w:hint="eastAsia"/>
          <w:szCs w:val="21"/>
        </w:rPr>
        <w:t>含存托</w:t>
      </w:r>
      <w:proofErr w:type="gramEnd"/>
      <w:r w:rsidRPr="00111350">
        <w:rPr>
          <w:rFonts w:ascii="Arial" w:hAnsi="Arial" w:hint="eastAsia"/>
          <w:szCs w:val="21"/>
        </w:rPr>
        <w:t>凭证，下同）。此外，为更好地实现投资目标，本基金可少量投资于部分非成份股（包含主板、创业板、</w:t>
      </w:r>
      <w:proofErr w:type="gramStart"/>
      <w:r w:rsidRPr="00111350">
        <w:rPr>
          <w:rFonts w:ascii="Arial" w:hAnsi="Arial" w:hint="eastAsia"/>
          <w:szCs w:val="21"/>
        </w:rPr>
        <w:t>科创板</w:t>
      </w:r>
      <w:proofErr w:type="gramEnd"/>
      <w:r w:rsidRPr="00111350">
        <w:rPr>
          <w:rFonts w:ascii="Arial" w:hAnsi="Arial" w:hint="eastAsia"/>
          <w:szCs w:val="21"/>
        </w:rPr>
        <w:t>、依法发行上市的其他港股通标的股票及其他依法发行上市的股票、存托凭证）、债券资产（国债、地方政府债、金融债、企业债、公司债、次级债、可转换债券（含分离交易可转债）、可交换债券、央行票据、中期票据、短期融资</w:t>
      </w:r>
      <w:proofErr w:type="gramStart"/>
      <w:r w:rsidRPr="00111350">
        <w:rPr>
          <w:rFonts w:ascii="Arial" w:hAnsi="Arial" w:hint="eastAsia"/>
          <w:szCs w:val="21"/>
        </w:rPr>
        <w:t>券</w:t>
      </w:r>
      <w:proofErr w:type="gramEnd"/>
      <w:r w:rsidRPr="00111350">
        <w:rPr>
          <w:rFonts w:ascii="Arial" w:hAnsi="Arial" w:hint="eastAsia"/>
          <w:szCs w:val="21"/>
        </w:rPr>
        <w:t>、超短期融资</w:t>
      </w:r>
      <w:proofErr w:type="gramStart"/>
      <w:r w:rsidRPr="00111350">
        <w:rPr>
          <w:rFonts w:ascii="Arial" w:hAnsi="Arial" w:hint="eastAsia"/>
          <w:szCs w:val="21"/>
        </w:rPr>
        <w:t>券</w:t>
      </w:r>
      <w:proofErr w:type="gramEnd"/>
      <w:r w:rsidRPr="00111350">
        <w:rPr>
          <w:rFonts w:ascii="Arial" w:hAnsi="Arial" w:hint="eastAsia"/>
          <w:szCs w:val="21"/>
        </w:rPr>
        <w:t>等）、资产支持证券、衍生工具（股指期货、股票期权、国债期货等）、债券回购、银行存款、同业存单、现金资产以及中国证监会允许基金投资的其他金融工具（但须符合中国证监会的相关规定）。</w:t>
      </w:r>
    </w:p>
    <w:p w14:paraId="05EBBD81"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本基金可根据相关法律法规和基金合同的约定，参与融资业务和转融通证券出借业务。</w:t>
      </w:r>
    </w:p>
    <w:p w14:paraId="3FD1AA4C"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如法律法规或监管机构以后允许基金投资其他品种，基金管理人在履行适当程序后，可以将其纳入投资范围。</w:t>
      </w:r>
    </w:p>
    <w:p w14:paraId="29844563" w14:textId="697EF46F" w:rsidR="008247B4"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lastRenderedPageBreak/>
        <w:t>本基金投资标的指数成份股及备选成份股的比例不低于基金资产净值的</w:t>
      </w:r>
      <w:r w:rsidRPr="00344B87">
        <w:rPr>
          <w:rFonts w:ascii="Arial" w:hAnsi="Arial" w:hint="eastAsia"/>
          <w:szCs w:val="21"/>
        </w:rPr>
        <w:t>90%</w:t>
      </w:r>
      <w:r w:rsidRPr="00344B87">
        <w:rPr>
          <w:rFonts w:ascii="Arial" w:hAnsi="Arial" w:hint="eastAsia"/>
          <w:szCs w:val="21"/>
        </w:rPr>
        <w:t>，且不低于非现金基金资产的</w:t>
      </w:r>
      <w:r w:rsidRPr="00344B87">
        <w:rPr>
          <w:rFonts w:ascii="Arial" w:hAnsi="Arial" w:hint="eastAsia"/>
          <w:szCs w:val="21"/>
        </w:rPr>
        <w:t>80%</w:t>
      </w:r>
      <w:r w:rsidRPr="00344B87">
        <w:rPr>
          <w:rFonts w:ascii="Arial" w:hAnsi="Arial" w:hint="eastAsia"/>
          <w:szCs w:val="21"/>
        </w:rPr>
        <w:t>。股指期货、股票期权和国债期货及其他金融工具的投资比例符合法律法规和监管机构的规定。</w:t>
      </w:r>
    </w:p>
    <w:p w14:paraId="5266B32B" w14:textId="7B8C7E38" w:rsidR="008247B4" w:rsidRDefault="00CA50F3">
      <w:pPr>
        <w:pStyle w:val="15"/>
        <w:spacing w:before="100" w:beforeAutospacing="1" w:after="100" w:afterAutospacing="1" w:line="400" w:lineRule="exact"/>
        <w:ind w:firstLine="420"/>
        <w:rPr>
          <w:rFonts w:ascii="Arial" w:hAnsi="Arial"/>
        </w:rPr>
      </w:pPr>
      <w:r>
        <w:rPr>
          <w:rFonts w:ascii="Arial" w:hAnsi="Arial"/>
          <w:szCs w:val="21"/>
        </w:rPr>
        <w:t>2</w:t>
      </w:r>
      <w:r>
        <w:rPr>
          <w:rFonts w:ascii="Arial" w:hAnsi="Arial"/>
          <w:szCs w:val="21"/>
        </w:rPr>
        <w:t>、对基金投融资比例进行监督</w:t>
      </w:r>
      <w:r w:rsidR="00FC37EE">
        <w:rPr>
          <w:rFonts w:ascii="Arial" w:hAnsi="Arial" w:hint="eastAsia"/>
          <w:szCs w:val="21"/>
        </w:rPr>
        <w:t>。</w:t>
      </w:r>
    </w:p>
    <w:p w14:paraId="2508357B"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1</w:t>
      </w:r>
      <w:r w:rsidRPr="00344B87">
        <w:rPr>
          <w:rFonts w:ascii="Arial" w:hAnsi="Arial" w:hint="eastAsia"/>
          <w:szCs w:val="21"/>
        </w:rPr>
        <w:t>）本基金投资于标的指数成份股、备选成份股的比例不低于基金资产净值的</w:t>
      </w:r>
      <w:r w:rsidRPr="00344B87">
        <w:rPr>
          <w:rFonts w:ascii="Arial" w:hAnsi="Arial" w:hint="eastAsia"/>
          <w:szCs w:val="21"/>
        </w:rPr>
        <w:t>90%</w:t>
      </w:r>
      <w:r w:rsidRPr="00344B87">
        <w:rPr>
          <w:rFonts w:ascii="Arial" w:hAnsi="Arial" w:hint="eastAsia"/>
          <w:szCs w:val="21"/>
        </w:rPr>
        <w:t>，且不低于非现金基金资产的</w:t>
      </w:r>
      <w:r w:rsidRPr="00344B87">
        <w:rPr>
          <w:rFonts w:ascii="Arial" w:hAnsi="Arial" w:hint="eastAsia"/>
          <w:szCs w:val="21"/>
        </w:rPr>
        <w:t>80%</w:t>
      </w:r>
      <w:r w:rsidRPr="00344B87">
        <w:rPr>
          <w:rFonts w:ascii="Arial" w:hAnsi="Arial" w:hint="eastAsia"/>
          <w:szCs w:val="21"/>
        </w:rPr>
        <w:t>；</w:t>
      </w:r>
    </w:p>
    <w:p w14:paraId="46F8663B"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2</w:t>
      </w:r>
      <w:r w:rsidRPr="00344B87">
        <w:rPr>
          <w:rFonts w:ascii="Arial" w:hAnsi="Arial" w:hint="eastAsia"/>
          <w:szCs w:val="21"/>
        </w:rPr>
        <w:t>）本基金投资于同一原始权益人的各类资产支持证券的比例，不得超过基金资产净值的</w:t>
      </w:r>
      <w:r w:rsidRPr="00344B87">
        <w:rPr>
          <w:rFonts w:ascii="Arial" w:hAnsi="Arial" w:hint="eastAsia"/>
          <w:szCs w:val="21"/>
        </w:rPr>
        <w:t>10</w:t>
      </w:r>
      <w:r w:rsidRPr="00344B87">
        <w:rPr>
          <w:rFonts w:ascii="Arial" w:hAnsi="Arial" w:hint="eastAsia"/>
          <w:szCs w:val="21"/>
        </w:rPr>
        <w:t>％；</w:t>
      </w:r>
    </w:p>
    <w:p w14:paraId="4276C844"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3</w:t>
      </w:r>
      <w:r w:rsidRPr="00344B87">
        <w:rPr>
          <w:rFonts w:ascii="Arial" w:hAnsi="Arial" w:hint="eastAsia"/>
          <w:szCs w:val="21"/>
        </w:rPr>
        <w:t>）本基金持有的全部资产支持证券，其市值不得超过基金资产净值的</w:t>
      </w:r>
      <w:r w:rsidRPr="00344B87">
        <w:rPr>
          <w:rFonts w:ascii="Arial" w:hAnsi="Arial" w:hint="eastAsia"/>
          <w:szCs w:val="21"/>
        </w:rPr>
        <w:t>20</w:t>
      </w:r>
      <w:r w:rsidRPr="00344B87">
        <w:rPr>
          <w:rFonts w:ascii="Arial" w:hAnsi="Arial" w:hint="eastAsia"/>
          <w:szCs w:val="21"/>
        </w:rPr>
        <w:t>％；</w:t>
      </w:r>
    </w:p>
    <w:p w14:paraId="61EDA295" w14:textId="6324BA1A"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4</w:t>
      </w:r>
      <w:r w:rsidRPr="00344B87">
        <w:rPr>
          <w:rFonts w:ascii="Arial" w:hAnsi="Arial" w:hint="eastAsia"/>
          <w:szCs w:val="21"/>
        </w:rPr>
        <w:t>）本基金持有的同一</w:t>
      </w:r>
      <w:r w:rsidR="00111350">
        <w:rPr>
          <w:rFonts w:ascii="Arial" w:hAnsi="Arial" w:hint="eastAsia"/>
          <w:szCs w:val="21"/>
        </w:rPr>
        <w:t>（</w:t>
      </w:r>
      <w:r w:rsidRPr="00344B87">
        <w:rPr>
          <w:rFonts w:ascii="Arial" w:hAnsi="Arial" w:hint="eastAsia"/>
          <w:szCs w:val="21"/>
        </w:rPr>
        <w:t>指同一信用级别</w:t>
      </w:r>
      <w:r w:rsidR="00111350">
        <w:rPr>
          <w:rFonts w:ascii="Arial" w:hAnsi="Arial" w:hint="eastAsia"/>
          <w:szCs w:val="21"/>
        </w:rPr>
        <w:t>)</w:t>
      </w:r>
      <w:r w:rsidRPr="00344B87">
        <w:rPr>
          <w:rFonts w:ascii="Arial" w:hAnsi="Arial" w:hint="eastAsia"/>
          <w:szCs w:val="21"/>
        </w:rPr>
        <w:t>资产支持证券的比例，不得超过该资产支持证券规模的</w:t>
      </w:r>
      <w:r w:rsidRPr="00344B87">
        <w:rPr>
          <w:rFonts w:ascii="Arial" w:hAnsi="Arial" w:hint="eastAsia"/>
          <w:szCs w:val="21"/>
        </w:rPr>
        <w:t>10</w:t>
      </w:r>
      <w:r w:rsidRPr="00344B87">
        <w:rPr>
          <w:rFonts w:ascii="Arial" w:hAnsi="Arial" w:hint="eastAsia"/>
          <w:szCs w:val="21"/>
        </w:rPr>
        <w:t>％；</w:t>
      </w:r>
    </w:p>
    <w:p w14:paraId="74830BB6" w14:textId="201E8B7C"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5</w:t>
      </w:r>
      <w:r>
        <w:rPr>
          <w:rFonts w:ascii="Arial" w:hAnsi="Arial" w:hint="eastAsia"/>
          <w:szCs w:val="21"/>
        </w:rPr>
        <w:t>）本基金管理人管理</w:t>
      </w:r>
      <w:r w:rsidRPr="00344B87">
        <w:rPr>
          <w:rFonts w:ascii="Arial" w:hAnsi="Arial" w:hint="eastAsia"/>
          <w:szCs w:val="21"/>
        </w:rPr>
        <w:t>的全部基金投资于同一原始权益人的各类资产支持证券，不得超过其各类资产支持证券合计规模的</w:t>
      </w:r>
      <w:r w:rsidRPr="00344B87">
        <w:rPr>
          <w:rFonts w:ascii="Arial" w:hAnsi="Arial" w:hint="eastAsia"/>
          <w:szCs w:val="21"/>
        </w:rPr>
        <w:t>10</w:t>
      </w:r>
      <w:r w:rsidRPr="00344B87">
        <w:rPr>
          <w:rFonts w:ascii="Arial" w:hAnsi="Arial" w:hint="eastAsia"/>
          <w:szCs w:val="21"/>
        </w:rPr>
        <w:t>％；</w:t>
      </w:r>
    </w:p>
    <w:p w14:paraId="6265404C" w14:textId="449721DC"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6</w:t>
      </w:r>
      <w:r w:rsidRPr="00344B87">
        <w:rPr>
          <w:rFonts w:ascii="Arial" w:hAnsi="Arial" w:hint="eastAsia"/>
          <w:szCs w:val="21"/>
        </w:rPr>
        <w:t>）本基金应投资于信用级别评级为</w:t>
      </w:r>
      <w:r w:rsidRPr="00344B87">
        <w:rPr>
          <w:rFonts w:ascii="Arial" w:hAnsi="Arial" w:hint="eastAsia"/>
          <w:szCs w:val="21"/>
        </w:rPr>
        <w:t>BBB</w:t>
      </w:r>
      <w:r w:rsidRPr="00344B87">
        <w:rPr>
          <w:rFonts w:ascii="Arial" w:hAnsi="Arial" w:hint="eastAsia"/>
          <w:szCs w:val="21"/>
        </w:rPr>
        <w:t>以上</w:t>
      </w:r>
      <w:r w:rsidR="00111350">
        <w:rPr>
          <w:rFonts w:ascii="Arial" w:hAnsi="Arial" w:hint="eastAsia"/>
          <w:szCs w:val="21"/>
        </w:rPr>
        <w:t>（</w:t>
      </w:r>
      <w:r w:rsidRPr="00344B87">
        <w:rPr>
          <w:rFonts w:ascii="Arial" w:hAnsi="Arial" w:hint="eastAsia"/>
          <w:szCs w:val="21"/>
        </w:rPr>
        <w:t>含</w:t>
      </w:r>
      <w:r w:rsidRPr="00344B87">
        <w:rPr>
          <w:rFonts w:ascii="Arial" w:hAnsi="Arial" w:hint="eastAsia"/>
          <w:szCs w:val="21"/>
        </w:rPr>
        <w:t>BBB</w:t>
      </w:r>
      <w:r w:rsidR="00BE06A4">
        <w:rPr>
          <w:rFonts w:ascii="Arial" w:hAnsi="Arial" w:hint="eastAsia"/>
          <w:szCs w:val="21"/>
        </w:rPr>
        <w:t>）</w:t>
      </w:r>
      <w:r w:rsidRPr="00344B87">
        <w:rPr>
          <w:rFonts w:ascii="Arial" w:hAnsi="Arial" w:hint="eastAsia"/>
          <w:szCs w:val="21"/>
        </w:rPr>
        <w:t>的资产支持证券。基金持有资产支持证券期间，如果其信用等级下降、不再符合投资标准，应在评级报告发布之日起</w:t>
      </w:r>
      <w:r w:rsidRPr="00344B87">
        <w:rPr>
          <w:rFonts w:ascii="Arial" w:hAnsi="Arial" w:hint="eastAsia"/>
          <w:szCs w:val="21"/>
        </w:rPr>
        <w:t>3</w:t>
      </w:r>
      <w:r w:rsidRPr="00344B87">
        <w:rPr>
          <w:rFonts w:ascii="Arial" w:hAnsi="Arial" w:hint="eastAsia"/>
          <w:szCs w:val="21"/>
        </w:rPr>
        <w:t>个月内予以全部卖出；</w:t>
      </w:r>
    </w:p>
    <w:p w14:paraId="61609520"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7</w:t>
      </w:r>
      <w:r w:rsidRPr="00344B87">
        <w:rPr>
          <w:rFonts w:ascii="Arial" w:hAnsi="Arial" w:hint="eastAsia"/>
          <w:szCs w:val="21"/>
        </w:rPr>
        <w:t>）基金财产参与股票发行申购，本基金所申报的金额不超过本基金的总资产，本基金所申报的股票数量不超过拟发行股票公司本次发行股票的总量；</w:t>
      </w:r>
    </w:p>
    <w:p w14:paraId="5145CD95"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8</w:t>
      </w:r>
      <w:r w:rsidRPr="00344B87">
        <w:rPr>
          <w:rFonts w:ascii="Arial" w:hAnsi="Arial" w:hint="eastAsia"/>
          <w:szCs w:val="21"/>
        </w:rPr>
        <w:t>）基金总资产不得超过基金净资产的</w:t>
      </w:r>
      <w:r w:rsidRPr="00344B87">
        <w:rPr>
          <w:rFonts w:ascii="Arial" w:hAnsi="Arial" w:hint="eastAsia"/>
          <w:szCs w:val="21"/>
        </w:rPr>
        <w:t>140%</w:t>
      </w:r>
      <w:r w:rsidRPr="00344B87">
        <w:rPr>
          <w:rFonts w:ascii="Arial" w:hAnsi="Arial" w:hint="eastAsia"/>
          <w:szCs w:val="21"/>
        </w:rPr>
        <w:t>；</w:t>
      </w:r>
    </w:p>
    <w:p w14:paraId="7DECA89D"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9</w:t>
      </w:r>
      <w:r w:rsidRPr="00344B87">
        <w:rPr>
          <w:rFonts w:ascii="Arial" w:hAnsi="Arial" w:hint="eastAsia"/>
          <w:szCs w:val="21"/>
        </w:rPr>
        <w:t>）本基金</w:t>
      </w:r>
      <w:proofErr w:type="gramStart"/>
      <w:r w:rsidRPr="00344B87">
        <w:rPr>
          <w:rFonts w:ascii="Arial" w:hAnsi="Arial" w:hint="eastAsia"/>
          <w:szCs w:val="21"/>
        </w:rPr>
        <w:t>若参</w:t>
      </w:r>
      <w:proofErr w:type="gramEnd"/>
      <w:r w:rsidRPr="00344B87">
        <w:rPr>
          <w:rFonts w:ascii="Arial" w:hAnsi="Arial" w:hint="eastAsia"/>
          <w:szCs w:val="21"/>
        </w:rPr>
        <w:t>与股指期货交易，应当符合下列投资限制：</w:t>
      </w:r>
    </w:p>
    <w:p w14:paraId="7B0D86EB"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①本基金在任何交易日日终，持有的买入股指期货合约价值，不得超过基金资产净值的</w:t>
      </w:r>
      <w:r w:rsidRPr="00344B87">
        <w:rPr>
          <w:rFonts w:ascii="Arial" w:hAnsi="Arial" w:hint="eastAsia"/>
          <w:szCs w:val="21"/>
        </w:rPr>
        <w:t>10%</w:t>
      </w:r>
      <w:r w:rsidRPr="00344B87">
        <w:rPr>
          <w:rFonts w:ascii="Arial" w:hAnsi="Arial" w:hint="eastAsia"/>
          <w:szCs w:val="21"/>
        </w:rPr>
        <w:t>；</w:t>
      </w:r>
    </w:p>
    <w:p w14:paraId="50FDD730"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②本基金在任何交易日日终，持有的买入股指期货、国债期货合约价值与有价证券市值之和，不得超过基金资产净值的</w:t>
      </w:r>
      <w:r w:rsidRPr="00344B87">
        <w:rPr>
          <w:rFonts w:ascii="Arial" w:hAnsi="Arial" w:hint="eastAsia"/>
          <w:szCs w:val="21"/>
        </w:rPr>
        <w:t>100%</w:t>
      </w:r>
      <w:r w:rsidRPr="00344B87">
        <w:rPr>
          <w:rFonts w:ascii="Arial" w:hAnsi="Arial" w:hint="eastAsia"/>
          <w:szCs w:val="21"/>
        </w:rPr>
        <w:t>；</w:t>
      </w:r>
    </w:p>
    <w:p w14:paraId="353522FB"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其中，有价证券指股票、债券（不含到期日在一年以内的政府债券）、资产支持证</w:t>
      </w:r>
      <w:r w:rsidRPr="00344B87">
        <w:rPr>
          <w:rFonts w:ascii="Arial" w:hAnsi="Arial" w:hint="eastAsia"/>
          <w:szCs w:val="21"/>
        </w:rPr>
        <w:lastRenderedPageBreak/>
        <w:t>券、买入返售金融资产（不含质押式回购）等；</w:t>
      </w:r>
    </w:p>
    <w:p w14:paraId="528BC928" w14:textId="748190F4" w:rsid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③本基金在任何交易日日终，持有的卖出股指期货合约价值不得超过基金持有的股票总市值的</w:t>
      </w:r>
      <w:r w:rsidRPr="00344B87">
        <w:rPr>
          <w:rFonts w:ascii="Arial" w:hAnsi="Arial" w:hint="eastAsia"/>
          <w:szCs w:val="21"/>
        </w:rPr>
        <w:t>20%</w:t>
      </w:r>
      <w:r w:rsidRPr="00344B87">
        <w:rPr>
          <w:rFonts w:ascii="Arial" w:hAnsi="Arial" w:hint="eastAsia"/>
          <w:szCs w:val="21"/>
        </w:rPr>
        <w:t>；</w:t>
      </w:r>
    </w:p>
    <w:p w14:paraId="29A2CB0A" w14:textId="56169E7B" w:rsidR="00111350" w:rsidRPr="00344B87" w:rsidRDefault="00111350" w:rsidP="00344B87">
      <w:pPr>
        <w:pStyle w:val="15"/>
        <w:spacing w:before="100" w:beforeAutospacing="1" w:after="100" w:afterAutospacing="1" w:line="400" w:lineRule="exact"/>
        <w:ind w:firstLine="420"/>
        <w:rPr>
          <w:rFonts w:ascii="Arial" w:hAnsi="Arial"/>
          <w:szCs w:val="21"/>
        </w:rPr>
      </w:pPr>
      <w:r w:rsidRPr="00111350">
        <w:rPr>
          <w:rFonts w:ascii="Arial" w:hAnsi="Arial" w:hint="eastAsia"/>
          <w:szCs w:val="21"/>
        </w:rPr>
        <w:t>④本基金所持有的股票市值和买入、卖出股指期货合约价值，合计（轧差计算）应当符合基金合同关于股票投资比例的有关约定；</w:t>
      </w:r>
    </w:p>
    <w:p w14:paraId="3585AA11" w14:textId="74FAD3B4" w:rsidR="00344B87" w:rsidRPr="00344B87" w:rsidRDefault="00111350">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⑤</w:t>
      </w:r>
      <w:r w:rsidR="00344B87" w:rsidRPr="00344B87">
        <w:rPr>
          <w:rFonts w:ascii="Arial" w:hAnsi="Arial" w:hint="eastAsia"/>
          <w:szCs w:val="21"/>
        </w:rPr>
        <w:t>本基金在任何交易日内交易（不包括平仓）的股指期货合约的成交金额不得超过上一交易日基金资产净值的</w:t>
      </w:r>
      <w:r w:rsidR="00344B87" w:rsidRPr="00344B87">
        <w:rPr>
          <w:rFonts w:ascii="Arial" w:hAnsi="Arial" w:hint="eastAsia"/>
          <w:szCs w:val="21"/>
        </w:rPr>
        <w:t>20%</w:t>
      </w:r>
      <w:r w:rsidR="00344B87" w:rsidRPr="00344B87">
        <w:rPr>
          <w:rFonts w:ascii="Arial" w:hAnsi="Arial" w:hint="eastAsia"/>
          <w:szCs w:val="21"/>
        </w:rPr>
        <w:t>；</w:t>
      </w:r>
    </w:p>
    <w:p w14:paraId="63DA1B6D" w14:textId="559897FA" w:rsidR="00344B87" w:rsidRPr="00344B87" w:rsidRDefault="00111350" w:rsidP="00344B87">
      <w:pPr>
        <w:pStyle w:val="15"/>
        <w:spacing w:before="100" w:beforeAutospacing="1" w:after="100" w:afterAutospacing="1" w:line="400" w:lineRule="exact"/>
        <w:ind w:firstLine="420"/>
        <w:rPr>
          <w:rFonts w:ascii="Arial" w:hAnsi="Arial"/>
          <w:szCs w:val="21"/>
        </w:rPr>
      </w:pPr>
      <w:r w:rsidRPr="00111350">
        <w:rPr>
          <w:rFonts w:ascii="Arial" w:hAnsi="Arial" w:hint="eastAsia"/>
          <w:szCs w:val="21"/>
        </w:rPr>
        <w:t>⑥</w:t>
      </w:r>
      <w:r w:rsidR="00344B87" w:rsidRPr="00344B87">
        <w:rPr>
          <w:rFonts w:ascii="Arial" w:hAnsi="Arial" w:hint="eastAsia"/>
          <w:szCs w:val="21"/>
        </w:rPr>
        <w:t>每个交易日日终，在扣除股指期货和国债期货合约需缴纳的交易保证金后，本基金应当保持不低于交易保证金一倍的现金；</w:t>
      </w:r>
    </w:p>
    <w:p w14:paraId="415B08DA"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10</w:t>
      </w:r>
      <w:r w:rsidRPr="00344B87">
        <w:rPr>
          <w:rFonts w:ascii="Arial" w:hAnsi="Arial" w:hint="eastAsia"/>
          <w:szCs w:val="21"/>
        </w:rPr>
        <w:t>）本基金</w:t>
      </w:r>
      <w:proofErr w:type="gramStart"/>
      <w:r w:rsidRPr="00344B87">
        <w:rPr>
          <w:rFonts w:ascii="Arial" w:hAnsi="Arial" w:hint="eastAsia"/>
          <w:szCs w:val="21"/>
        </w:rPr>
        <w:t>若参</w:t>
      </w:r>
      <w:proofErr w:type="gramEnd"/>
      <w:r w:rsidRPr="00344B87">
        <w:rPr>
          <w:rFonts w:ascii="Arial" w:hAnsi="Arial" w:hint="eastAsia"/>
          <w:szCs w:val="21"/>
        </w:rPr>
        <w:t>与国债期货交易，应当符合下列投资限制：</w:t>
      </w:r>
    </w:p>
    <w:p w14:paraId="5C6F6E62"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①本基金在任何交易日日终，持有的买入国债期货合约价值，不得超过基金资产净值的</w:t>
      </w:r>
      <w:r w:rsidRPr="00344B87">
        <w:rPr>
          <w:rFonts w:ascii="Arial" w:hAnsi="Arial" w:hint="eastAsia"/>
          <w:szCs w:val="21"/>
        </w:rPr>
        <w:t>15%</w:t>
      </w:r>
      <w:r w:rsidRPr="00344B87">
        <w:rPr>
          <w:rFonts w:ascii="Arial" w:hAnsi="Arial" w:hint="eastAsia"/>
          <w:szCs w:val="21"/>
        </w:rPr>
        <w:t>；</w:t>
      </w:r>
    </w:p>
    <w:p w14:paraId="39EA819D"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②本基金在任何交易日日终，在扣除股指期货和国债期货合约需缴纳的交易保证金后，应当保持不低于交易保证金一倍的现金；</w:t>
      </w:r>
      <w:r w:rsidRPr="00344B87">
        <w:rPr>
          <w:rFonts w:ascii="Arial" w:hAnsi="Arial" w:hint="eastAsia"/>
          <w:szCs w:val="21"/>
        </w:rPr>
        <w:t xml:space="preserve"> </w:t>
      </w:r>
    </w:p>
    <w:p w14:paraId="747B3FF8"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③本基金在任何交易日日终，持有的买入股指期货、国债期货合约价值与有价证券市值之和，不得超过基金资产净值的</w:t>
      </w:r>
      <w:r w:rsidRPr="00344B87">
        <w:rPr>
          <w:rFonts w:ascii="Arial" w:hAnsi="Arial" w:hint="eastAsia"/>
          <w:szCs w:val="21"/>
        </w:rPr>
        <w:t>100%</w:t>
      </w:r>
      <w:r w:rsidRPr="00344B87">
        <w:rPr>
          <w:rFonts w:ascii="Arial" w:hAnsi="Arial" w:hint="eastAsia"/>
          <w:szCs w:val="21"/>
        </w:rPr>
        <w:t>。</w:t>
      </w:r>
    </w:p>
    <w:p w14:paraId="3752086D"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其中，有价证券指股票、债券（不含到期日在一年以内的政府债券）、资产支持证券、买入返售金融资产（不含质押式回购）等；</w:t>
      </w:r>
    </w:p>
    <w:p w14:paraId="40EAF665" w14:textId="21EE9304" w:rsidR="00344B87" w:rsidRDefault="00344B87" w:rsidP="0033093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④本基金在任何交易日日终，持有的卖出国债期货合约价值不得超过基金持有的债券总市值的</w:t>
      </w:r>
      <w:r w:rsidRPr="00344B87">
        <w:rPr>
          <w:rFonts w:ascii="Arial" w:hAnsi="Arial" w:hint="eastAsia"/>
          <w:szCs w:val="21"/>
        </w:rPr>
        <w:t>30%</w:t>
      </w:r>
      <w:r w:rsidRPr="00344B87">
        <w:rPr>
          <w:rFonts w:ascii="Arial" w:hAnsi="Arial" w:hint="eastAsia"/>
          <w:szCs w:val="21"/>
        </w:rPr>
        <w:t>；</w:t>
      </w:r>
      <w:r w:rsidR="00330937" w:rsidRPr="00344B87">
        <w:rPr>
          <w:rFonts w:ascii="Arial" w:hAnsi="Arial" w:hint="eastAsia"/>
          <w:szCs w:val="21"/>
        </w:rPr>
        <w:t xml:space="preserve"> </w:t>
      </w:r>
    </w:p>
    <w:p w14:paraId="588ABF8B" w14:textId="6E49838C" w:rsidR="00EC4568" w:rsidRPr="00344B87" w:rsidRDefault="00EC4568" w:rsidP="00330937">
      <w:pPr>
        <w:pStyle w:val="15"/>
        <w:spacing w:before="100" w:beforeAutospacing="1" w:after="100" w:afterAutospacing="1" w:line="400" w:lineRule="exact"/>
        <w:ind w:firstLine="420"/>
        <w:rPr>
          <w:rFonts w:ascii="Arial" w:hAnsi="Arial"/>
          <w:szCs w:val="21"/>
        </w:rPr>
      </w:pPr>
      <w:r w:rsidRPr="00EC4568">
        <w:rPr>
          <w:rFonts w:ascii="Arial" w:hAnsi="Arial" w:hint="eastAsia"/>
          <w:szCs w:val="21"/>
        </w:rPr>
        <w:t>⑤本基金所持有的债券</w:t>
      </w:r>
      <w:r w:rsidRPr="00EC4568">
        <w:rPr>
          <w:rFonts w:ascii="Arial" w:hAnsi="Arial" w:hint="eastAsia"/>
          <w:szCs w:val="21"/>
        </w:rPr>
        <w:t>(</w:t>
      </w:r>
      <w:r w:rsidRPr="00EC4568">
        <w:rPr>
          <w:rFonts w:ascii="Arial" w:hAnsi="Arial" w:hint="eastAsia"/>
          <w:szCs w:val="21"/>
        </w:rPr>
        <w:t>不含到期日在一年以内的政府债券</w:t>
      </w:r>
      <w:r w:rsidRPr="00EC4568">
        <w:rPr>
          <w:rFonts w:ascii="Arial" w:hAnsi="Arial" w:hint="eastAsia"/>
          <w:szCs w:val="21"/>
        </w:rPr>
        <w:t>)</w:t>
      </w:r>
      <w:r w:rsidRPr="00EC4568">
        <w:rPr>
          <w:rFonts w:ascii="Arial" w:hAnsi="Arial" w:hint="eastAsia"/>
          <w:szCs w:val="21"/>
        </w:rPr>
        <w:t>市值和买入、卖出国债期货合约价值，合计</w:t>
      </w:r>
      <w:r w:rsidRPr="00EC4568">
        <w:rPr>
          <w:rFonts w:ascii="Arial" w:hAnsi="Arial" w:hint="eastAsia"/>
          <w:szCs w:val="21"/>
        </w:rPr>
        <w:t>(</w:t>
      </w:r>
      <w:r w:rsidRPr="00EC4568">
        <w:rPr>
          <w:rFonts w:ascii="Arial" w:hAnsi="Arial" w:hint="eastAsia"/>
          <w:szCs w:val="21"/>
        </w:rPr>
        <w:t>轧差计算</w:t>
      </w:r>
      <w:r w:rsidRPr="00EC4568">
        <w:rPr>
          <w:rFonts w:ascii="Arial" w:hAnsi="Arial" w:hint="eastAsia"/>
          <w:szCs w:val="21"/>
        </w:rPr>
        <w:t>)</w:t>
      </w:r>
      <w:r w:rsidRPr="00EC4568">
        <w:rPr>
          <w:rFonts w:ascii="Arial" w:hAnsi="Arial" w:hint="eastAsia"/>
          <w:szCs w:val="21"/>
        </w:rPr>
        <w:t>应当符合基金合同关于债券投资比例的有关约定；</w:t>
      </w:r>
    </w:p>
    <w:p w14:paraId="10FB54B0" w14:textId="5A0B27C3" w:rsidR="00344B87" w:rsidRDefault="00EC4568" w:rsidP="00344B87">
      <w:pPr>
        <w:pStyle w:val="15"/>
        <w:spacing w:before="100" w:beforeAutospacing="1" w:after="100" w:afterAutospacing="1" w:line="400" w:lineRule="exact"/>
        <w:ind w:firstLine="420"/>
        <w:rPr>
          <w:rFonts w:ascii="Arial" w:hAnsi="Arial"/>
          <w:szCs w:val="21"/>
        </w:rPr>
      </w:pPr>
      <w:r>
        <w:rPr>
          <w:rFonts w:ascii="Arial" w:hAnsi="Arial" w:hint="eastAsia"/>
          <w:szCs w:val="21"/>
        </w:rPr>
        <w:t>⑥</w:t>
      </w:r>
      <w:r w:rsidR="00344B87" w:rsidRPr="00344B87">
        <w:rPr>
          <w:rFonts w:ascii="Arial" w:hAnsi="Arial" w:hint="eastAsia"/>
          <w:szCs w:val="21"/>
        </w:rPr>
        <w:t>本基金在任何交易日内交易（不包括平仓）的国债期货合约的成交金额不得超过上一交易日基金资产净值的</w:t>
      </w:r>
      <w:r w:rsidR="00344B87" w:rsidRPr="00344B87">
        <w:rPr>
          <w:rFonts w:ascii="Arial" w:hAnsi="Arial" w:hint="eastAsia"/>
          <w:szCs w:val="21"/>
        </w:rPr>
        <w:t>30%</w:t>
      </w:r>
      <w:r w:rsidR="00344B87" w:rsidRPr="00344B87">
        <w:rPr>
          <w:rFonts w:ascii="Arial" w:hAnsi="Arial" w:hint="eastAsia"/>
          <w:szCs w:val="21"/>
        </w:rPr>
        <w:t>；</w:t>
      </w:r>
    </w:p>
    <w:p w14:paraId="17232B9C" w14:textId="77777777" w:rsidR="00EC4568" w:rsidRPr="00EC4568" w:rsidRDefault="00EC4568" w:rsidP="00EC4568">
      <w:pPr>
        <w:pStyle w:val="15"/>
        <w:spacing w:before="100" w:beforeAutospacing="1" w:after="100" w:afterAutospacing="1" w:line="400" w:lineRule="exact"/>
        <w:ind w:firstLine="420"/>
        <w:rPr>
          <w:rFonts w:ascii="Arial" w:hAnsi="Arial"/>
          <w:szCs w:val="21"/>
        </w:rPr>
      </w:pPr>
      <w:r w:rsidRPr="00EC4568">
        <w:rPr>
          <w:rFonts w:ascii="Arial" w:hAnsi="Arial" w:hint="eastAsia"/>
          <w:szCs w:val="21"/>
        </w:rPr>
        <w:t>（</w:t>
      </w:r>
      <w:r w:rsidRPr="00EC4568">
        <w:rPr>
          <w:rFonts w:ascii="Arial" w:hAnsi="Arial" w:hint="eastAsia"/>
          <w:szCs w:val="21"/>
        </w:rPr>
        <w:t>11</w:t>
      </w:r>
      <w:r w:rsidRPr="00EC4568">
        <w:rPr>
          <w:rFonts w:ascii="Arial" w:hAnsi="Arial" w:hint="eastAsia"/>
          <w:szCs w:val="21"/>
        </w:rPr>
        <w:t>）本基金</w:t>
      </w:r>
      <w:proofErr w:type="gramStart"/>
      <w:r w:rsidRPr="00EC4568">
        <w:rPr>
          <w:rFonts w:ascii="Arial" w:hAnsi="Arial" w:hint="eastAsia"/>
          <w:szCs w:val="21"/>
        </w:rPr>
        <w:t>若参</w:t>
      </w:r>
      <w:proofErr w:type="gramEnd"/>
      <w:r w:rsidRPr="00EC4568">
        <w:rPr>
          <w:rFonts w:ascii="Arial" w:hAnsi="Arial" w:hint="eastAsia"/>
          <w:szCs w:val="21"/>
        </w:rPr>
        <w:t>与股票期权交易，应当符合下列投资限制：</w:t>
      </w:r>
    </w:p>
    <w:p w14:paraId="3B4CAE21" w14:textId="77777777" w:rsidR="00EC4568" w:rsidRPr="00EC4568" w:rsidRDefault="00EC4568" w:rsidP="00EC4568">
      <w:pPr>
        <w:pStyle w:val="15"/>
        <w:spacing w:before="100" w:beforeAutospacing="1" w:after="100" w:afterAutospacing="1" w:line="400" w:lineRule="exact"/>
        <w:ind w:firstLine="420"/>
        <w:rPr>
          <w:rFonts w:ascii="Arial" w:hAnsi="Arial"/>
          <w:szCs w:val="21"/>
        </w:rPr>
      </w:pPr>
      <w:r w:rsidRPr="00EC4568">
        <w:rPr>
          <w:rFonts w:ascii="Arial" w:hAnsi="Arial" w:hint="eastAsia"/>
          <w:szCs w:val="21"/>
        </w:rPr>
        <w:lastRenderedPageBreak/>
        <w:t>①基金因未平仓的期权合约支付和收取的权利金总额不得超过基金资产净值的</w:t>
      </w:r>
      <w:r w:rsidRPr="00EC4568">
        <w:rPr>
          <w:rFonts w:ascii="Arial" w:hAnsi="Arial" w:hint="eastAsia"/>
          <w:szCs w:val="21"/>
        </w:rPr>
        <w:t>10%</w:t>
      </w:r>
      <w:r w:rsidRPr="00EC4568">
        <w:rPr>
          <w:rFonts w:ascii="Arial" w:hAnsi="Arial" w:hint="eastAsia"/>
          <w:szCs w:val="21"/>
        </w:rPr>
        <w:t>；</w:t>
      </w:r>
    </w:p>
    <w:p w14:paraId="07C0F325" w14:textId="77777777" w:rsidR="00EC4568" w:rsidRPr="00EC4568" w:rsidRDefault="00EC4568" w:rsidP="00EC4568">
      <w:pPr>
        <w:pStyle w:val="15"/>
        <w:spacing w:before="100" w:beforeAutospacing="1" w:after="100" w:afterAutospacing="1" w:line="400" w:lineRule="exact"/>
        <w:ind w:firstLine="420"/>
        <w:rPr>
          <w:rFonts w:ascii="Arial" w:hAnsi="Arial"/>
          <w:szCs w:val="21"/>
        </w:rPr>
      </w:pPr>
      <w:r w:rsidRPr="00EC4568">
        <w:rPr>
          <w:rFonts w:ascii="Arial" w:hAnsi="Arial" w:hint="eastAsia"/>
          <w:szCs w:val="21"/>
        </w:rPr>
        <w:t>②开仓卖出认购期权的，应持有足额标的证券；开仓卖出认沽期权的，应持有合约行权所需的全额现金或交易所规则认可的可冲抵期权保证金的现金等价物；</w:t>
      </w:r>
    </w:p>
    <w:p w14:paraId="33D098A6" w14:textId="103C8D0A" w:rsidR="00EC4568" w:rsidRPr="00344B87" w:rsidRDefault="00EC4568" w:rsidP="00EC4568">
      <w:pPr>
        <w:pStyle w:val="15"/>
        <w:spacing w:before="100" w:beforeAutospacing="1" w:after="100" w:afterAutospacing="1" w:line="400" w:lineRule="exact"/>
        <w:ind w:firstLine="420"/>
        <w:rPr>
          <w:rFonts w:ascii="Arial" w:hAnsi="Arial"/>
          <w:szCs w:val="21"/>
        </w:rPr>
      </w:pPr>
      <w:r w:rsidRPr="00EC4568">
        <w:rPr>
          <w:rFonts w:ascii="Arial" w:hAnsi="Arial" w:hint="eastAsia"/>
          <w:szCs w:val="21"/>
        </w:rPr>
        <w:t>③未平仓的期权合约面值不得超过基金资产净值的</w:t>
      </w:r>
      <w:r w:rsidRPr="00EC4568">
        <w:rPr>
          <w:rFonts w:ascii="Arial" w:hAnsi="Arial" w:hint="eastAsia"/>
          <w:szCs w:val="21"/>
        </w:rPr>
        <w:t>20%</w:t>
      </w:r>
      <w:r w:rsidRPr="00EC4568">
        <w:rPr>
          <w:rFonts w:ascii="Arial" w:hAnsi="Arial" w:hint="eastAsia"/>
          <w:szCs w:val="21"/>
        </w:rPr>
        <w:t>。其中，合约面值按照行权价乘以合约乘数计算；</w:t>
      </w:r>
    </w:p>
    <w:p w14:paraId="2DD24236" w14:textId="79014ACA" w:rsidR="00344B87" w:rsidRPr="00344B87" w:rsidRDefault="00344B87" w:rsidP="0033093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Pr="00344B87">
        <w:rPr>
          <w:rFonts w:ascii="Arial" w:hAnsi="Arial" w:hint="eastAsia"/>
          <w:szCs w:val="21"/>
        </w:rPr>
        <w:t>1</w:t>
      </w:r>
      <w:r w:rsidR="00EC4568">
        <w:rPr>
          <w:rFonts w:ascii="Arial" w:hAnsi="Arial"/>
          <w:szCs w:val="21"/>
        </w:rPr>
        <w:t>2</w:t>
      </w:r>
      <w:r w:rsidRPr="00344B87">
        <w:rPr>
          <w:rFonts w:ascii="Arial" w:hAnsi="Arial" w:hint="eastAsia"/>
          <w:szCs w:val="21"/>
        </w:rPr>
        <w:t>）本基金参与融资业务后，在任何交易日日终，持有的融资买入股票与其他有价证券市值之和，不得超过基金资产净值的</w:t>
      </w:r>
      <w:r w:rsidRPr="00344B87">
        <w:rPr>
          <w:rFonts w:ascii="Arial" w:hAnsi="Arial" w:hint="eastAsia"/>
          <w:szCs w:val="21"/>
        </w:rPr>
        <w:t xml:space="preserve"> 95%</w:t>
      </w:r>
      <w:r w:rsidRPr="00344B87">
        <w:rPr>
          <w:rFonts w:ascii="Arial" w:hAnsi="Arial" w:hint="eastAsia"/>
          <w:szCs w:val="21"/>
        </w:rPr>
        <w:t>；</w:t>
      </w:r>
    </w:p>
    <w:p w14:paraId="7642D37A" w14:textId="419F1740"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00330937">
        <w:rPr>
          <w:rFonts w:ascii="Arial" w:hAnsi="Arial" w:hint="eastAsia"/>
          <w:szCs w:val="21"/>
        </w:rPr>
        <w:t>1</w:t>
      </w:r>
      <w:r w:rsidR="00EC4568">
        <w:rPr>
          <w:rFonts w:ascii="Arial" w:hAnsi="Arial"/>
          <w:szCs w:val="21"/>
        </w:rPr>
        <w:t>3</w:t>
      </w:r>
      <w:r w:rsidRPr="00344B87">
        <w:rPr>
          <w:rFonts w:ascii="Arial" w:hAnsi="Arial" w:hint="eastAsia"/>
          <w:szCs w:val="21"/>
        </w:rPr>
        <w:t>）本基金参与转融通证券出借业务，应当符合下列投资限制：</w:t>
      </w:r>
    </w:p>
    <w:p w14:paraId="7CB7E28F"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①出借证券资产不得超过基金资产净值的</w:t>
      </w:r>
      <w:r w:rsidRPr="00344B87">
        <w:rPr>
          <w:rFonts w:ascii="Arial" w:hAnsi="Arial" w:hint="eastAsia"/>
          <w:szCs w:val="21"/>
        </w:rPr>
        <w:t>30%</w:t>
      </w:r>
      <w:r w:rsidRPr="00344B87">
        <w:rPr>
          <w:rFonts w:ascii="Arial" w:hAnsi="Arial" w:hint="eastAsia"/>
          <w:szCs w:val="21"/>
        </w:rPr>
        <w:t>，出借期限在</w:t>
      </w:r>
      <w:r w:rsidRPr="00344B87">
        <w:rPr>
          <w:rFonts w:ascii="Arial" w:hAnsi="Arial" w:hint="eastAsia"/>
          <w:szCs w:val="21"/>
        </w:rPr>
        <w:t>10</w:t>
      </w:r>
      <w:r w:rsidRPr="00344B87">
        <w:rPr>
          <w:rFonts w:ascii="Arial" w:hAnsi="Arial" w:hint="eastAsia"/>
          <w:szCs w:val="21"/>
        </w:rPr>
        <w:t>个交易日以上的出借证券应纳入《流动性风险管理规定》所述流动性受限证券的范围；</w:t>
      </w:r>
    </w:p>
    <w:p w14:paraId="357B6FE0"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②本基金参与出借业务的单只证券不得超过基金持有该证券总量的</w:t>
      </w:r>
      <w:r w:rsidRPr="00344B87">
        <w:rPr>
          <w:rFonts w:ascii="Arial" w:hAnsi="Arial" w:hint="eastAsia"/>
          <w:szCs w:val="21"/>
        </w:rPr>
        <w:t>30%</w:t>
      </w:r>
      <w:r w:rsidRPr="00344B87">
        <w:rPr>
          <w:rFonts w:ascii="Arial" w:hAnsi="Arial" w:hint="eastAsia"/>
          <w:szCs w:val="21"/>
        </w:rPr>
        <w:t>；</w:t>
      </w:r>
    </w:p>
    <w:p w14:paraId="5B7FBBD1"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③最近</w:t>
      </w:r>
      <w:r w:rsidRPr="00344B87">
        <w:rPr>
          <w:rFonts w:ascii="Arial" w:hAnsi="Arial" w:hint="eastAsia"/>
          <w:szCs w:val="21"/>
        </w:rPr>
        <w:t>6</w:t>
      </w:r>
      <w:r w:rsidRPr="00344B87">
        <w:rPr>
          <w:rFonts w:ascii="Arial" w:hAnsi="Arial" w:hint="eastAsia"/>
          <w:szCs w:val="21"/>
        </w:rPr>
        <w:t>个月内日均基金资产净值不得低于</w:t>
      </w:r>
      <w:r w:rsidRPr="00344B87">
        <w:rPr>
          <w:rFonts w:ascii="Arial" w:hAnsi="Arial" w:hint="eastAsia"/>
          <w:szCs w:val="21"/>
        </w:rPr>
        <w:t>2</w:t>
      </w:r>
      <w:r w:rsidRPr="00344B87">
        <w:rPr>
          <w:rFonts w:ascii="Arial" w:hAnsi="Arial" w:hint="eastAsia"/>
          <w:szCs w:val="21"/>
        </w:rPr>
        <w:t>亿元；</w:t>
      </w:r>
    </w:p>
    <w:p w14:paraId="4E5519CA"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④证券出借的平均剩余期限不得超过</w:t>
      </w:r>
      <w:r w:rsidRPr="00344B87">
        <w:rPr>
          <w:rFonts w:ascii="Arial" w:hAnsi="Arial" w:hint="eastAsia"/>
          <w:szCs w:val="21"/>
        </w:rPr>
        <w:t>30</w:t>
      </w:r>
      <w:r w:rsidRPr="00344B87">
        <w:rPr>
          <w:rFonts w:ascii="Arial" w:hAnsi="Arial" w:hint="eastAsia"/>
          <w:szCs w:val="21"/>
        </w:rPr>
        <w:t>天，平均剩余期限按照市值加权平均计算；</w:t>
      </w:r>
    </w:p>
    <w:p w14:paraId="31CB448F" w14:textId="77777777"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因证券市场波动、上市公司合并、基金规模变动等基金管理人之外的因素致使基金投资不符合上述规定的，基金管理人不得新增出借业务；</w:t>
      </w:r>
    </w:p>
    <w:p w14:paraId="5E11E42F" w14:textId="0F4BD36F"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00330937">
        <w:rPr>
          <w:rFonts w:ascii="Arial" w:hAnsi="Arial" w:hint="eastAsia"/>
          <w:szCs w:val="21"/>
        </w:rPr>
        <w:t>1</w:t>
      </w:r>
      <w:r w:rsidR="00EC4568">
        <w:rPr>
          <w:rFonts w:ascii="Arial" w:hAnsi="Arial"/>
          <w:szCs w:val="21"/>
        </w:rPr>
        <w:t>4</w:t>
      </w:r>
      <w:r w:rsidRPr="00344B87">
        <w:rPr>
          <w:rFonts w:ascii="Arial" w:hAnsi="Arial" w:hint="eastAsia"/>
          <w:szCs w:val="21"/>
        </w:rPr>
        <w:t>）本基金主动投资于流动性受限资产的市值合计不得超过基金资产净值的</w:t>
      </w:r>
      <w:r w:rsidRPr="00344B87">
        <w:rPr>
          <w:rFonts w:ascii="Arial" w:hAnsi="Arial" w:hint="eastAsia"/>
          <w:szCs w:val="21"/>
        </w:rPr>
        <w:t>15%</w:t>
      </w:r>
      <w:r w:rsidRPr="00344B87">
        <w:rPr>
          <w:rFonts w:ascii="Arial" w:hAnsi="Arial" w:hint="eastAsia"/>
          <w:szCs w:val="21"/>
        </w:rPr>
        <w:t>；因证券市场波动、上市公司股票停牌、基金规模变动等基金管理人之外的因素致使基金不符合本款所规定比例限制的，本基金管理人不得主动新增流动性受限资产的投资；</w:t>
      </w:r>
      <w:r w:rsidRPr="00344B87">
        <w:rPr>
          <w:rFonts w:ascii="Arial" w:hAnsi="Arial" w:hint="eastAsia"/>
          <w:szCs w:val="21"/>
        </w:rPr>
        <w:t xml:space="preserve">  </w:t>
      </w:r>
    </w:p>
    <w:p w14:paraId="6F6BCECA" w14:textId="6AFB135A"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00330937">
        <w:rPr>
          <w:rFonts w:ascii="Arial" w:hAnsi="Arial" w:hint="eastAsia"/>
          <w:szCs w:val="21"/>
        </w:rPr>
        <w:t>1</w:t>
      </w:r>
      <w:r w:rsidR="00EC4568">
        <w:rPr>
          <w:rFonts w:ascii="Arial" w:hAnsi="Arial"/>
          <w:szCs w:val="21"/>
        </w:rPr>
        <w:t>5</w:t>
      </w:r>
      <w:r w:rsidRPr="00344B87">
        <w:rPr>
          <w:rFonts w:ascii="Arial" w:hAnsi="Arial" w:hint="eastAsia"/>
          <w:szCs w:val="21"/>
        </w:rPr>
        <w:t>）本基金与私募类</w:t>
      </w:r>
      <w:proofErr w:type="gramStart"/>
      <w:r w:rsidRPr="00344B87">
        <w:rPr>
          <w:rFonts w:ascii="Arial" w:hAnsi="Arial" w:hint="eastAsia"/>
          <w:szCs w:val="21"/>
        </w:rPr>
        <w:t>证券资管产品</w:t>
      </w:r>
      <w:proofErr w:type="gramEnd"/>
      <w:r w:rsidRPr="00344B87">
        <w:rPr>
          <w:rFonts w:ascii="Arial" w:hAnsi="Arial" w:hint="eastAsia"/>
          <w:szCs w:val="21"/>
        </w:rPr>
        <w:t>及中国证监会认定的其他主体为交易对手开展逆回购交易的，可接受质押品的资质要求应当与基金合同约定的投资范围保持一致；</w:t>
      </w:r>
    </w:p>
    <w:p w14:paraId="15E914EB" w14:textId="3D224F38"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00330937">
        <w:rPr>
          <w:rFonts w:ascii="Arial" w:hAnsi="Arial" w:hint="eastAsia"/>
          <w:szCs w:val="21"/>
        </w:rPr>
        <w:t>1</w:t>
      </w:r>
      <w:r w:rsidR="00EC4568">
        <w:rPr>
          <w:rFonts w:ascii="Arial" w:hAnsi="Arial"/>
          <w:szCs w:val="21"/>
        </w:rPr>
        <w:t>6</w:t>
      </w:r>
      <w:r w:rsidRPr="00344B87">
        <w:rPr>
          <w:rFonts w:ascii="Arial" w:hAnsi="Arial" w:hint="eastAsia"/>
          <w:szCs w:val="21"/>
        </w:rPr>
        <w:t>）本基金投资存托凭证的比例限制依照国内依法发行上市的股票执行，与国内依法发行上市的股票合并计算；</w:t>
      </w:r>
    </w:p>
    <w:p w14:paraId="29D446D3" w14:textId="5C488082"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w:t>
      </w:r>
      <w:r w:rsidR="00330937">
        <w:rPr>
          <w:rFonts w:ascii="Arial" w:hAnsi="Arial" w:hint="eastAsia"/>
          <w:szCs w:val="21"/>
        </w:rPr>
        <w:t>1</w:t>
      </w:r>
      <w:r w:rsidR="00EC4568">
        <w:rPr>
          <w:rFonts w:ascii="Arial" w:hAnsi="Arial"/>
          <w:szCs w:val="21"/>
        </w:rPr>
        <w:t>7</w:t>
      </w:r>
      <w:r w:rsidRPr="00344B87">
        <w:rPr>
          <w:rFonts w:ascii="Arial" w:hAnsi="Arial" w:hint="eastAsia"/>
          <w:szCs w:val="21"/>
        </w:rPr>
        <w:t>）法律法规及中国证监会规定的</w:t>
      </w:r>
      <w:r w:rsidR="00CC7B04" w:rsidRPr="00CC7B04">
        <w:rPr>
          <w:rFonts w:ascii="Arial" w:hAnsi="Arial" w:hint="eastAsia"/>
          <w:szCs w:val="21"/>
        </w:rPr>
        <w:t>和《基金合同》约定的</w:t>
      </w:r>
      <w:r w:rsidRPr="00344B87">
        <w:rPr>
          <w:rFonts w:ascii="Arial" w:hAnsi="Arial" w:hint="eastAsia"/>
          <w:szCs w:val="21"/>
        </w:rPr>
        <w:t>其他投资限制。</w:t>
      </w:r>
    </w:p>
    <w:p w14:paraId="4FADE31E" w14:textId="7C440E1F" w:rsidR="00344B87" w:rsidRPr="00344B87" w:rsidRDefault="00344B87" w:rsidP="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除第（</w:t>
      </w:r>
      <w:r w:rsidRPr="00344B87">
        <w:rPr>
          <w:rFonts w:ascii="Arial" w:hAnsi="Arial" w:hint="eastAsia"/>
          <w:szCs w:val="21"/>
        </w:rPr>
        <w:t>6</w:t>
      </w:r>
      <w:r w:rsidRPr="00344B87">
        <w:rPr>
          <w:rFonts w:ascii="Arial" w:hAnsi="Arial" w:hint="eastAsia"/>
          <w:szCs w:val="21"/>
        </w:rPr>
        <w:t>）、（</w:t>
      </w:r>
      <w:r w:rsidR="00330937">
        <w:rPr>
          <w:rFonts w:ascii="Arial" w:hAnsi="Arial" w:hint="eastAsia"/>
          <w:szCs w:val="21"/>
        </w:rPr>
        <w:t>1</w:t>
      </w:r>
      <w:r w:rsidR="00EC4568">
        <w:rPr>
          <w:rFonts w:ascii="Arial" w:hAnsi="Arial"/>
          <w:szCs w:val="21"/>
        </w:rPr>
        <w:t>3</w:t>
      </w:r>
      <w:r w:rsidRPr="00344B87">
        <w:rPr>
          <w:rFonts w:ascii="Arial" w:hAnsi="Arial" w:hint="eastAsia"/>
          <w:szCs w:val="21"/>
        </w:rPr>
        <w:t>）、（</w:t>
      </w:r>
      <w:r w:rsidR="00330937">
        <w:rPr>
          <w:rFonts w:ascii="Arial" w:hAnsi="Arial" w:hint="eastAsia"/>
          <w:szCs w:val="21"/>
        </w:rPr>
        <w:t>1</w:t>
      </w:r>
      <w:r w:rsidR="00EC4568">
        <w:rPr>
          <w:rFonts w:ascii="Arial" w:hAnsi="Arial"/>
          <w:szCs w:val="21"/>
        </w:rPr>
        <w:t>4</w:t>
      </w:r>
      <w:r w:rsidRPr="00344B87">
        <w:rPr>
          <w:rFonts w:ascii="Arial" w:hAnsi="Arial" w:hint="eastAsia"/>
          <w:szCs w:val="21"/>
        </w:rPr>
        <w:t>）、（</w:t>
      </w:r>
      <w:r w:rsidR="00330937">
        <w:rPr>
          <w:rFonts w:ascii="Arial" w:hAnsi="Arial" w:hint="eastAsia"/>
          <w:szCs w:val="21"/>
        </w:rPr>
        <w:t>1</w:t>
      </w:r>
      <w:r w:rsidR="00EC4568">
        <w:rPr>
          <w:rFonts w:ascii="Arial" w:hAnsi="Arial"/>
          <w:szCs w:val="21"/>
        </w:rPr>
        <w:t>5</w:t>
      </w:r>
      <w:r w:rsidRPr="00344B87">
        <w:rPr>
          <w:rFonts w:ascii="Arial" w:hAnsi="Arial" w:hint="eastAsia"/>
          <w:szCs w:val="21"/>
        </w:rPr>
        <w:t>）项外，因证券、期货市场波动、证券发行人合并、基金规模变动、标的指数成份股调整、标的指数成份股流动性限制等基金管理人之外</w:t>
      </w:r>
      <w:r w:rsidRPr="00344B87">
        <w:rPr>
          <w:rFonts w:ascii="Arial" w:hAnsi="Arial" w:hint="eastAsia"/>
          <w:szCs w:val="21"/>
        </w:rPr>
        <w:lastRenderedPageBreak/>
        <w:t>的因素致使基金投资比例不符合上述规定投资比例的，基金管理人应当在所涉证券可交易之日起</w:t>
      </w:r>
      <w:r w:rsidRPr="00344B87">
        <w:rPr>
          <w:rFonts w:ascii="Arial" w:hAnsi="Arial" w:hint="eastAsia"/>
          <w:szCs w:val="21"/>
        </w:rPr>
        <w:t>10</w:t>
      </w:r>
      <w:r w:rsidRPr="00344B87">
        <w:rPr>
          <w:rFonts w:ascii="Arial" w:hAnsi="Arial" w:hint="eastAsia"/>
          <w:szCs w:val="21"/>
        </w:rPr>
        <w:t>个交易日内进行调整，但中国证监会规定的特殊情形除外。法律法规另有规定的，从其规定。</w:t>
      </w:r>
    </w:p>
    <w:p w14:paraId="1B2D5F45" w14:textId="6AA5B0BB" w:rsidR="008247B4" w:rsidRDefault="00344B87">
      <w:pPr>
        <w:pStyle w:val="15"/>
        <w:spacing w:before="100" w:beforeAutospacing="1" w:after="100" w:afterAutospacing="1" w:line="400" w:lineRule="exact"/>
        <w:ind w:firstLine="420"/>
        <w:rPr>
          <w:rFonts w:ascii="Arial" w:hAnsi="Arial"/>
          <w:szCs w:val="21"/>
        </w:rPr>
      </w:pPr>
      <w:r w:rsidRPr="00344B87">
        <w:rPr>
          <w:rFonts w:ascii="Arial" w:hAnsi="Arial" w:hint="eastAsia"/>
          <w:szCs w:val="21"/>
        </w:rPr>
        <w:t>基金管理人应当自基金合同生效之日起</w:t>
      </w:r>
      <w:r w:rsidRPr="00344B87">
        <w:rPr>
          <w:rFonts w:ascii="Arial" w:hAnsi="Arial" w:hint="eastAsia"/>
          <w:szCs w:val="21"/>
        </w:rPr>
        <w:t>6</w:t>
      </w:r>
      <w:r w:rsidRPr="00344B87">
        <w:rPr>
          <w:rFonts w:ascii="Arial" w:hAnsi="Arial" w:hint="eastAsia"/>
          <w:szCs w:val="21"/>
        </w:rPr>
        <w:t>个月内使基金的投资组合比例符合基金合同的有关约定。在上述期间内，本基金的投资范围、投资策</w:t>
      </w:r>
      <w:r w:rsidR="00292021">
        <w:rPr>
          <w:rFonts w:ascii="Arial" w:hAnsi="Arial" w:hint="eastAsia"/>
          <w:szCs w:val="21"/>
        </w:rPr>
        <w:t>略应当符合基金合同的约定。基金托管人对基金的投资的监督与检查自</w:t>
      </w:r>
      <w:r w:rsidRPr="00344B87">
        <w:rPr>
          <w:rFonts w:ascii="Arial" w:hAnsi="Arial" w:hint="eastAsia"/>
          <w:szCs w:val="21"/>
        </w:rPr>
        <w:t>基金合同生效之日起开始。</w:t>
      </w:r>
    </w:p>
    <w:p w14:paraId="36AC8D2B" w14:textId="02312801"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3</w:t>
      </w:r>
      <w:r>
        <w:rPr>
          <w:rFonts w:hint="eastAsia"/>
        </w:rPr>
        <w:t>、</w:t>
      </w:r>
      <w:r w:rsidR="00292021" w:rsidRPr="00292021">
        <w:rPr>
          <w:rFonts w:ascii="Arial" w:hAnsi="Arial" w:hint="eastAsia"/>
          <w:szCs w:val="21"/>
        </w:rPr>
        <w:t>除标的指数成份股、备选成份股之外，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r>
        <w:rPr>
          <w:rFonts w:ascii="Arial" w:hAnsi="Arial" w:hint="eastAsia"/>
          <w:szCs w:val="21"/>
        </w:rPr>
        <w:t>。</w:t>
      </w:r>
      <w:bookmarkEnd w:id="14"/>
    </w:p>
    <w:p w14:paraId="14B07FD1" w14:textId="1429A2E3"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4</w:t>
      </w:r>
      <w:r>
        <w:rPr>
          <w:rFonts w:ascii="Arial" w:hAnsi="Arial"/>
          <w:szCs w:val="21"/>
        </w:rPr>
        <w:t>、</w:t>
      </w:r>
      <w:r>
        <w:rPr>
          <w:rFonts w:ascii="Arial" w:hAnsi="Arial" w:hint="eastAsia"/>
          <w:szCs w:val="21"/>
        </w:rPr>
        <w:t>法律法规或监管部门对基金合同所述投资比例、投资限制、组合限制、禁止行为等</w:t>
      </w:r>
      <w:proofErr w:type="gramStart"/>
      <w:r>
        <w:rPr>
          <w:rFonts w:ascii="Arial" w:hAnsi="Arial" w:hint="eastAsia"/>
          <w:szCs w:val="21"/>
        </w:rPr>
        <w:t>作出</w:t>
      </w:r>
      <w:proofErr w:type="gramEnd"/>
      <w:r>
        <w:rPr>
          <w:rFonts w:ascii="Arial" w:hAnsi="Arial" w:hint="eastAsia"/>
          <w:szCs w:val="21"/>
        </w:rPr>
        <w:t>强制性调整的，本基金应当按照法律法规或监管部门的规定执行。</w:t>
      </w:r>
      <w:bookmarkEnd w:id="15"/>
    </w:p>
    <w:p w14:paraId="1C5A9CCF" w14:textId="51C4AACD" w:rsidR="004A423B" w:rsidRDefault="004A423B">
      <w:pPr>
        <w:pStyle w:val="15"/>
        <w:spacing w:before="100" w:beforeAutospacing="1" w:after="100" w:afterAutospacing="1" w:line="400" w:lineRule="exact"/>
        <w:ind w:firstLine="420"/>
        <w:rPr>
          <w:rFonts w:ascii="Arial" w:hAnsi="Arial"/>
          <w:szCs w:val="21"/>
        </w:rPr>
      </w:pPr>
      <w:r w:rsidRPr="004A423B">
        <w:rPr>
          <w:rFonts w:ascii="Arial" w:hAnsi="Arial" w:hint="eastAsia"/>
          <w:szCs w:val="21"/>
        </w:rPr>
        <w:t>5</w:t>
      </w:r>
      <w:r w:rsidRPr="004A423B">
        <w:rPr>
          <w:rFonts w:ascii="Arial" w:hAnsi="Arial" w:hint="eastAsia"/>
          <w:szCs w:val="21"/>
        </w:rPr>
        <w:t>、基金参与转融通证券出借业务，基金管理人应遵守审慎经营原则，配备专门的技术系统和专业人员，制定科学合理的投资策略和风险管理制度，完善业务流程，有效防范和控制风险，基金托管人将</w:t>
      </w:r>
      <w:r w:rsidR="00833671">
        <w:rPr>
          <w:rFonts w:ascii="Arial" w:hAnsi="Arial" w:hint="eastAsia"/>
          <w:szCs w:val="21"/>
        </w:rPr>
        <w:t>根据</w:t>
      </w:r>
      <w:r w:rsidR="00C9125E">
        <w:rPr>
          <w:rFonts w:ascii="Arial" w:hAnsi="Arial" w:hint="eastAsia"/>
          <w:szCs w:val="21"/>
        </w:rPr>
        <w:t>前述</w:t>
      </w:r>
      <w:r w:rsidR="00833671">
        <w:rPr>
          <w:rFonts w:ascii="Arial" w:hAnsi="Arial" w:hint="eastAsia"/>
          <w:szCs w:val="21"/>
        </w:rPr>
        <w:t>第（一）条第</w:t>
      </w:r>
      <w:r w:rsidR="00833671">
        <w:rPr>
          <w:rFonts w:ascii="Arial" w:hAnsi="Arial" w:hint="eastAsia"/>
          <w:szCs w:val="21"/>
        </w:rPr>
        <w:t>2</w:t>
      </w:r>
      <w:r w:rsidR="00833671">
        <w:rPr>
          <w:rFonts w:ascii="Arial" w:hAnsi="Arial" w:hint="eastAsia"/>
          <w:szCs w:val="21"/>
        </w:rPr>
        <w:t>款第（</w:t>
      </w:r>
      <w:r w:rsidR="0024427B">
        <w:rPr>
          <w:rFonts w:ascii="Arial" w:hAnsi="Arial"/>
          <w:szCs w:val="21"/>
        </w:rPr>
        <w:t>13</w:t>
      </w:r>
      <w:r w:rsidR="00833671">
        <w:rPr>
          <w:rFonts w:ascii="Arial" w:hAnsi="Arial" w:hint="eastAsia"/>
          <w:szCs w:val="21"/>
        </w:rPr>
        <w:t>）项的约定</w:t>
      </w:r>
      <w:r w:rsidRPr="004A423B">
        <w:rPr>
          <w:rFonts w:ascii="Arial" w:hAnsi="Arial" w:hint="eastAsia"/>
          <w:szCs w:val="21"/>
        </w:rPr>
        <w:t>对基金参与出借业务进行监督和复核。</w:t>
      </w:r>
    </w:p>
    <w:p w14:paraId="52243C8E" w14:textId="5AC7C920"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（二）基金托管人应根据有关法律法规的规定、《基金合同》和本协议的约定，对基金资产净值计算、基金份额净值计算、</w:t>
      </w:r>
      <w:r w:rsidR="004A423B">
        <w:rPr>
          <w:rFonts w:ascii="Arial" w:hAnsi="Arial"/>
          <w:szCs w:val="21"/>
        </w:rPr>
        <w:t>申购赎回对价的现金部分、</w:t>
      </w:r>
      <w:r>
        <w:rPr>
          <w:rFonts w:ascii="Arial" w:hAnsi="Arial"/>
          <w:szCs w:val="21"/>
        </w:rPr>
        <w:t>应收资金到账、基金费用开支及收入确定、基金收益分配、相关信息披露材料中登载基金业绩表现数据等进行复核。</w:t>
      </w:r>
    </w:p>
    <w:p w14:paraId="5334064D"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三）基金托管人在上述第（一）、（二）款的监督和核查中发现基金管理人违反法律法规的规定及本协议的约定，应及时提示基金管理人，基金管理人收到提示后应及时核对确认并改正。在限期内，基金托管人有权随时对提示事项进行复查。基金管理人对基金托管人提示的违规事项未能在限期内纠正的，基金托管人应及时向中国证监会报告。</w:t>
      </w:r>
    </w:p>
    <w:p w14:paraId="0DE29556"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（四）基金托管人发现基金管理人的投资指令违反法律法规及本协议的规定，应当拒绝执行，及时提示基金管理人。基金托管人发现基金管理人依据交易程序已经生效的指令</w:t>
      </w:r>
      <w:r>
        <w:rPr>
          <w:rFonts w:ascii="Arial" w:hAnsi="Arial"/>
          <w:szCs w:val="21"/>
        </w:rPr>
        <w:lastRenderedPageBreak/>
        <w:t>违反法律法规和其他有关规定，或者违反本协议约定的，应当及时提示基金管理人，并依照法律法规的规定及时向中国证监会报告。</w:t>
      </w:r>
    </w:p>
    <w:p w14:paraId="1B7D0A0D" w14:textId="16FFD1B8" w:rsidR="008247B4" w:rsidRDefault="00CA50F3" w:rsidP="0033703A">
      <w:pPr>
        <w:pStyle w:val="15"/>
        <w:spacing w:before="100" w:beforeAutospacing="1" w:after="100" w:afterAutospacing="1" w:line="400" w:lineRule="exact"/>
        <w:ind w:firstLine="420"/>
        <w:rPr>
          <w:rFonts w:ascii="Arial" w:hAnsi="Arial"/>
          <w:szCs w:val="21"/>
        </w:rPr>
      </w:pPr>
      <w:r>
        <w:rPr>
          <w:rFonts w:ascii="Arial" w:hAnsi="Arial"/>
          <w:szCs w:val="21"/>
        </w:rPr>
        <w:t>（五）基金管理人应积极配合和协助基金托管人的监督和核查，包括但不限于：在规定时间内答复基金托管人并改正，就基金托管人的</w:t>
      </w:r>
      <w:r>
        <w:rPr>
          <w:rFonts w:ascii="Arial" w:hAnsi="Arial" w:hint="eastAsia"/>
          <w:szCs w:val="21"/>
        </w:rPr>
        <w:t>合理</w:t>
      </w:r>
      <w:r>
        <w:rPr>
          <w:rFonts w:ascii="Arial" w:hAnsi="Arial"/>
          <w:szCs w:val="21"/>
        </w:rPr>
        <w:t>疑义进行解释或举证，对基金托管人按照法规要求需向中国证监会报送基金监督报告的，基金管理人应积极配合提供相关数据资料和制度等。</w:t>
      </w:r>
    </w:p>
    <w:p w14:paraId="26F74E32" w14:textId="77777777" w:rsidR="008247B4" w:rsidRDefault="008247B4">
      <w:pPr>
        <w:pStyle w:val="15"/>
        <w:spacing w:before="100" w:beforeAutospacing="1" w:after="100" w:afterAutospacing="1" w:line="400" w:lineRule="exact"/>
        <w:ind w:firstLine="420"/>
        <w:rPr>
          <w:rFonts w:ascii="Arial" w:hAnsi="Arial"/>
          <w:szCs w:val="21"/>
        </w:rPr>
      </w:pPr>
    </w:p>
    <w:p w14:paraId="787F93DA" w14:textId="77777777" w:rsidR="008247B4" w:rsidRDefault="00CA50F3">
      <w:pPr>
        <w:pStyle w:val="116"/>
        <w:spacing w:before="100" w:beforeAutospacing="1" w:after="100" w:afterAutospacing="1" w:line="400" w:lineRule="exact"/>
        <w:ind w:firstLine="422"/>
        <w:rPr>
          <w:rFonts w:ascii="Arial" w:hAnsi="Arial"/>
          <w:sz w:val="21"/>
          <w:szCs w:val="21"/>
        </w:rPr>
      </w:pPr>
      <w:bookmarkStart w:id="16" w:name="_Toc202171865"/>
      <w:r>
        <w:rPr>
          <w:rFonts w:ascii="Arial" w:hAnsi="Arial"/>
          <w:sz w:val="21"/>
          <w:szCs w:val="21"/>
        </w:rPr>
        <w:t>四、基金管理人对基金托管人的业务核查</w:t>
      </w:r>
      <w:bookmarkEnd w:id="16"/>
    </w:p>
    <w:p w14:paraId="5157FB2B" w14:textId="4644FB52"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1</w:t>
      </w:r>
      <w:r>
        <w:rPr>
          <w:rFonts w:ascii="Arial" w:hAnsi="Arial"/>
          <w:szCs w:val="21"/>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或注销基金财产的资金账户和证券账户、期货结算账户及投资所需其他账户、复核基金管理人计算的基金资产净值和基金份额净值、根据基金管理人指令办理清算交收、相关信息披露和监督基金投资运作等行为。</w:t>
      </w:r>
    </w:p>
    <w:p w14:paraId="374B8CE5"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2</w:t>
      </w:r>
      <w:r>
        <w:rPr>
          <w:rFonts w:ascii="Arial" w:hAnsi="Arial"/>
          <w:szCs w:val="21"/>
        </w:rPr>
        <w:t>、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6868F2B9" w14:textId="61ED90BD"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3</w:t>
      </w:r>
      <w:r>
        <w:rPr>
          <w:rFonts w:ascii="Arial" w:hAnsi="Arial"/>
          <w:szCs w:val="21"/>
        </w:rPr>
        <w:t>、基金托管人应积极配合基金管理人的核查行为，包括但不限于：提交相关资料以</w:t>
      </w:r>
      <w:proofErr w:type="gramStart"/>
      <w:r>
        <w:rPr>
          <w:rFonts w:ascii="Arial" w:hAnsi="Arial"/>
          <w:szCs w:val="21"/>
        </w:rPr>
        <w:t>供基金</w:t>
      </w:r>
      <w:proofErr w:type="gramEnd"/>
      <w:r>
        <w:rPr>
          <w:rFonts w:ascii="Arial" w:hAnsi="Arial"/>
          <w:szCs w:val="21"/>
        </w:rPr>
        <w:t>管理人核查</w:t>
      </w:r>
      <w:r>
        <w:rPr>
          <w:rFonts w:ascii="Arial" w:hAnsi="Arial" w:hint="eastAsia"/>
          <w:szCs w:val="21"/>
        </w:rPr>
        <w:t>基金</w:t>
      </w:r>
      <w:r>
        <w:rPr>
          <w:rFonts w:ascii="Arial" w:hAnsi="Arial"/>
          <w:szCs w:val="21"/>
        </w:rPr>
        <w:t>财产的完整性和真实性，在规定时间内答复基金管理人并改正。对基金管理人按照法规要求需向中国证监会提交基金监督报告的，基金托管人应积极配合提供相关数据资料和制度等。</w:t>
      </w:r>
    </w:p>
    <w:p w14:paraId="1D3492A1" w14:textId="77777777" w:rsidR="008247B4" w:rsidRDefault="008247B4">
      <w:pPr>
        <w:pStyle w:val="15"/>
        <w:spacing w:before="100" w:beforeAutospacing="1" w:after="100" w:afterAutospacing="1" w:line="400" w:lineRule="exact"/>
        <w:ind w:firstLine="420"/>
        <w:rPr>
          <w:rFonts w:ascii="Arial" w:hAnsi="Arial"/>
          <w:szCs w:val="21"/>
        </w:rPr>
      </w:pPr>
    </w:p>
    <w:p w14:paraId="04E9E1CA" w14:textId="77777777" w:rsidR="008247B4" w:rsidRDefault="00CA50F3">
      <w:pPr>
        <w:pStyle w:val="116"/>
        <w:spacing w:before="100" w:beforeAutospacing="1" w:after="100" w:afterAutospacing="1" w:line="400" w:lineRule="exact"/>
        <w:ind w:firstLine="422"/>
        <w:rPr>
          <w:rFonts w:ascii="Arial" w:hAnsi="Arial"/>
          <w:sz w:val="21"/>
          <w:szCs w:val="21"/>
        </w:rPr>
      </w:pPr>
      <w:bookmarkStart w:id="17" w:name="_Toc116900099"/>
      <w:bookmarkStart w:id="18" w:name="_Toc202171866"/>
      <w:r>
        <w:rPr>
          <w:rFonts w:ascii="Arial" w:hAnsi="Arial"/>
          <w:sz w:val="21"/>
          <w:szCs w:val="21"/>
        </w:rPr>
        <w:t>五、基金财产的保管</w:t>
      </w:r>
      <w:bookmarkEnd w:id="17"/>
      <w:bookmarkEnd w:id="18"/>
    </w:p>
    <w:p w14:paraId="1B87B7CF"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（一）基金财产保管的原则</w:t>
      </w:r>
    </w:p>
    <w:p w14:paraId="40A3473B" w14:textId="6AB72555"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lastRenderedPageBreak/>
        <w:t>1</w:t>
      </w:r>
      <w:r>
        <w:rPr>
          <w:rFonts w:ascii="Arial" w:hAnsi="Arial"/>
          <w:szCs w:val="21"/>
        </w:rPr>
        <w:t>、基金财产应独立于基金管理人、基金托管人</w:t>
      </w:r>
      <w:r w:rsidR="00AC0A56">
        <w:rPr>
          <w:rFonts w:ascii="Arial" w:hAnsi="Arial" w:hint="eastAsia"/>
          <w:szCs w:val="21"/>
        </w:rPr>
        <w:t>、证券经纪商</w:t>
      </w:r>
      <w:r>
        <w:rPr>
          <w:rFonts w:ascii="Arial" w:hAnsi="Arial"/>
          <w:szCs w:val="21"/>
        </w:rPr>
        <w:t>的固有财产。</w:t>
      </w:r>
    </w:p>
    <w:p w14:paraId="52F083C4"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2</w:t>
      </w:r>
      <w:r>
        <w:rPr>
          <w:rFonts w:ascii="Arial" w:hAnsi="Arial"/>
          <w:szCs w:val="21"/>
        </w:rPr>
        <w:t>、基金托管人应安全保管基金财产，未经基金管理人的合法合</w:t>
      </w:r>
      <w:proofErr w:type="gramStart"/>
      <w:r>
        <w:rPr>
          <w:rFonts w:ascii="Arial" w:hAnsi="Arial"/>
          <w:szCs w:val="21"/>
        </w:rPr>
        <w:t>规</w:t>
      </w:r>
      <w:proofErr w:type="gramEnd"/>
      <w:r>
        <w:rPr>
          <w:rFonts w:ascii="Arial" w:hAnsi="Arial"/>
          <w:szCs w:val="21"/>
        </w:rPr>
        <w:t>指令或法律法规、《基金合同》及本协议另有规定，不得自行运用、处分、分配基金的任何财产。</w:t>
      </w:r>
    </w:p>
    <w:p w14:paraId="6FFBCE2B"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3</w:t>
      </w:r>
      <w:r>
        <w:rPr>
          <w:rFonts w:ascii="Arial" w:hAnsi="Arial"/>
          <w:szCs w:val="21"/>
        </w:rPr>
        <w:t>、基金托管人按照规定开设基金财产的资金账户、证券账户、期货结算账户及投资所需其他账户。</w:t>
      </w:r>
    </w:p>
    <w:p w14:paraId="2A212AE7"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4</w:t>
      </w:r>
      <w:r>
        <w:rPr>
          <w:rFonts w:ascii="Arial" w:eastAsia="宋体" w:hAnsi="Arial"/>
          <w:color w:val="auto"/>
          <w:sz w:val="21"/>
          <w:szCs w:val="21"/>
        </w:rPr>
        <w:t>、基金托管人对所托管的不同基金财产分别设置账户，独立核算，分账管理，确保基金财产的完整与独立。</w:t>
      </w:r>
    </w:p>
    <w:p w14:paraId="5577AD51"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5</w:t>
      </w:r>
      <w:r>
        <w:rPr>
          <w:rFonts w:ascii="Arial" w:eastAsia="宋体" w:hAnsi="Arial"/>
          <w:color w:val="auto"/>
          <w:sz w:val="21"/>
          <w:szCs w:val="21"/>
        </w:rPr>
        <w:t>、除依据《基金法》、《运作办法》、《基金合同》及其他有关法律法规规定外，基金托管人不得委托第三人托管基金财产。</w:t>
      </w:r>
    </w:p>
    <w:p w14:paraId="6B40EE9D"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（二）《基金合同》生效前募集资金的验资和入账</w:t>
      </w:r>
    </w:p>
    <w:p w14:paraId="350EF658"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hint="eastAsia"/>
          <w:color w:val="auto"/>
          <w:sz w:val="21"/>
          <w:szCs w:val="21"/>
        </w:rPr>
        <w:t>基金募集期满或基金管理人依据法律法规及招募说明书决定停止基金发售时，募集的基金份额总额、基金募集金额、基金份额持有人人数符合《基金法》、《运作办法》等有关规定的，由基金管理人在法定期限内聘请符合《证券法》规定的会计师事务所进行验资，并出具验资报告。出具的验资报告应由参加验资的</w:t>
      </w:r>
      <w:r>
        <w:rPr>
          <w:rFonts w:ascii="Arial" w:eastAsia="宋体" w:hAnsi="Arial" w:hint="eastAsia"/>
          <w:color w:val="auto"/>
          <w:sz w:val="21"/>
          <w:szCs w:val="21"/>
        </w:rPr>
        <w:t>2</w:t>
      </w:r>
      <w:r>
        <w:rPr>
          <w:rFonts w:ascii="Arial" w:eastAsia="宋体" w:hAnsi="Arial" w:hint="eastAsia"/>
          <w:color w:val="auto"/>
          <w:sz w:val="21"/>
          <w:szCs w:val="21"/>
        </w:rPr>
        <w:t>名以上（含</w:t>
      </w:r>
      <w:r>
        <w:rPr>
          <w:rFonts w:ascii="Arial" w:eastAsia="宋体" w:hAnsi="Arial" w:hint="eastAsia"/>
          <w:color w:val="auto"/>
          <w:sz w:val="21"/>
          <w:szCs w:val="21"/>
        </w:rPr>
        <w:t>2</w:t>
      </w:r>
      <w:r>
        <w:rPr>
          <w:rFonts w:ascii="Arial" w:eastAsia="宋体" w:hAnsi="Arial" w:hint="eastAsia"/>
          <w:color w:val="auto"/>
          <w:sz w:val="21"/>
          <w:szCs w:val="21"/>
        </w:rPr>
        <w:t>名）中国注册会计师签字方为有效。</w:t>
      </w:r>
    </w:p>
    <w:p w14:paraId="1A0D6ACF"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基金管理人应将属于本基金财产的全部资金划入在基金托管人处为本基金开立的基金银行账户中，并确保划入的资金与验资确认金额相一致。</w:t>
      </w:r>
    </w:p>
    <w:p w14:paraId="0FC73CB4"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（三）基金的银行账户的开设和管理</w:t>
      </w:r>
    </w:p>
    <w:p w14:paraId="69706D07"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、基金托管人应负责本基金的银行账户的开设和管理。</w:t>
      </w:r>
    </w:p>
    <w:p w14:paraId="191382C2" w14:textId="778E6D2B"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2</w:t>
      </w:r>
      <w:r>
        <w:rPr>
          <w:rFonts w:ascii="Arial" w:eastAsia="宋体" w:hAnsi="Arial"/>
          <w:color w:val="auto"/>
          <w:sz w:val="21"/>
          <w:szCs w:val="21"/>
        </w:rPr>
        <w:t>、基金托管人以本基金的名义开设本基金的银行账户</w:t>
      </w:r>
      <w:r w:rsidR="00F47A38">
        <w:rPr>
          <w:rFonts w:ascii="Arial" w:eastAsia="宋体" w:hAnsi="Arial" w:hint="eastAsia"/>
          <w:color w:val="auto"/>
          <w:sz w:val="21"/>
          <w:szCs w:val="21"/>
        </w:rPr>
        <w:t>（也可称为“</w:t>
      </w:r>
      <w:r w:rsidR="006F1E3B">
        <w:rPr>
          <w:rFonts w:ascii="Arial" w:eastAsia="宋体" w:hAnsi="Arial" w:hint="eastAsia"/>
          <w:color w:val="auto"/>
          <w:sz w:val="21"/>
          <w:szCs w:val="21"/>
        </w:rPr>
        <w:t>基金</w:t>
      </w:r>
      <w:r w:rsidR="00F47A38">
        <w:rPr>
          <w:rFonts w:ascii="Arial" w:eastAsia="宋体" w:hAnsi="Arial" w:hint="eastAsia"/>
          <w:color w:val="auto"/>
          <w:sz w:val="21"/>
          <w:szCs w:val="21"/>
        </w:rPr>
        <w:t>托管账户”）</w:t>
      </w:r>
      <w:r>
        <w:rPr>
          <w:rFonts w:ascii="Arial" w:eastAsia="宋体" w:hAnsi="Arial"/>
          <w:color w:val="auto"/>
          <w:sz w:val="21"/>
          <w:szCs w:val="21"/>
        </w:rPr>
        <w:t>。本基金的银行预留印鉴由基金托管人保管和使用。本基金</w:t>
      </w:r>
      <w:r w:rsidR="00AC0A56" w:rsidRPr="00AC0A56">
        <w:rPr>
          <w:rFonts w:ascii="Arial" w:eastAsia="宋体" w:hAnsi="Arial" w:hint="eastAsia"/>
          <w:color w:val="auto"/>
          <w:sz w:val="21"/>
          <w:szCs w:val="21"/>
        </w:rPr>
        <w:t>除证券交易所场内交易以外</w:t>
      </w:r>
      <w:r>
        <w:rPr>
          <w:rFonts w:ascii="Arial" w:eastAsia="宋体" w:hAnsi="Arial"/>
          <w:color w:val="auto"/>
          <w:sz w:val="21"/>
          <w:szCs w:val="21"/>
        </w:rPr>
        <w:t>的一切货币收支活动，包括但不限于投资、支付赎回</w:t>
      </w:r>
      <w:r w:rsidR="004A423B" w:rsidRPr="004A423B">
        <w:rPr>
          <w:rFonts w:ascii="Arial" w:eastAsia="宋体" w:hAnsi="Arial" w:hint="eastAsia"/>
          <w:color w:val="auto"/>
          <w:sz w:val="21"/>
          <w:szCs w:val="21"/>
        </w:rPr>
        <w:t>对价的现金部分</w:t>
      </w:r>
      <w:r>
        <w:rPr>
          <w:rFonts w:ascii="Arial" w:eastAsia="宋体" w:hAnsi="Arial"/>
          <w:color w:val="auto"/>
          <w:sz w:val="21"/>
          <w:szCs w:val="21"/>
        </w:rPr>
        <w:t>、支付基金收益</w:t>
      </w:r>
      <w:r>
        <w:rPr>
          <w:rFonts w:ascii="Arial" w:eastAsia="宋体" w:hAnsi="Arial" w:hint="eastAsia"/>
          <w:color w:val="auto"/>
          <w:sz w:val="21"/>
          <w:szCs w:val="21"/>
        </w:rPr>
        <w:t>、收取申购</w:t>
      </w:r>
      <w:r w:rsidR="004A423B" w:rsidRPr="004A423B">
        <w:rPr>
          <w:rFonts w:ascii="Arial" w:eastAsia="宋体" w:hAnsi="Arial" w:hint="eastAsia"/>
          <w:color w:val="auto"/>
          <w:sz w:val="21"/>
          <w:szCs w:val="21"/>
        </w:rPr>
        <w:t>对价的现金部分</w:t>
      </w:r>
      <w:r>
        <w:rPr>
          <w:rFonts w:ascii="Arial" w:eastAsia="宋体" w:hAnsi="Arial"/>
          <w:color w:val="auto"/>
          <w:sz w:val="21"/>
          <w:szCs w:val="21"/>
        </w:rPr>
        <w:t>，均需通过本基金的银行账户进行。</w:t>
      </w:r>
    </w:p>
    <w:p w14:paraId="1C8BFE75"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3</w:t>
      </w:r>
      <w:r>
        <w:rPr>
          <w:rFonts w:ascii="Arial" w:eastAsia="宋体" w:hAnsi="Arial"/>
          <w:color w:val="auto"/>
          <w:sz w:val="21"/>
          <w:szCs w:val="21"/>
        </w:rPr>
        <w:t>、本基金银行账户的开立和使用，限于满足开展本基金业务的需要。基金托管人和基金管理人不得假借本基金的名义开立其他任何银行账户；亦不得使用本基金的银行账户进行本基金业务以外的活动。</w:t>
      </w:r>
    </w:p>
    <w:p w14:paraId="41AD87E6"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lastRenderedPageBreak/>
        <w:t>4</w:t>
      </w:r>
      <w:r>
        <w:rPr>
          <w:rFonts w:ascii="Arial" w:eastAsia="宋体" w:hAnsi="Arial"/>
          <w:color w:val="auto"/>
          <w:sz w:val="21"/>
          <w:szCs w:val="21"/>
        </w:rPr>
        <w:t>、基金银行账户的管理应符合法律法规的有关规定。</w:t>
      </w:r>
    </w:p>
    <w:p w14:paraId="394361A4"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（四）基金进行定期存款投资的账户开设和管理</w:t>
      </w:r>
    </w:p>
    <w:p w14:paraId="6905974F"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168A9D86" w14:textId="1C9DAFE2"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（五）基金证券账户</w:t>
      </w:r>
      <w:r w:rsidR="00AC0A56" w:rsidRPr="00AC0A56">
        <w:rPr>
          <w:rFonts w:ascii="Arial" w:eastAsia="宋体" w:hAnsi="Arial" w:hint="eastAsia"/>
          <w:color w:val="auto"/>
          <w:sz w:val="21"/>
          <w:szCs w:val="21"/>
        </w:rPr>
        <w:t>及其他投资账户</w:t>
      </w:r>
      <w:r>
        <w:rPr>
          <w:rFonts w:ascii="Arial" w:eastAsia="宋体" w:hAnsi="Arial"/>
          <w:color w:val="auto"/>
          <w:sz w:val="21"/>
          <w:szCs w:val="21"/>
        </w:rPr>
        <w:t>的开设和管理</w:t>
      </w:r>
    </w:p>
    <w:p w14:paraId="5EC9DFC4"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、基金托管人应当代表本基金，以基金托管人和本基金联名的方式在中国证券登记结算有限责任公司开设证券账户。</w:t>
      </w:r>
    </w:p>
    <w:p w14:paraId="019A43FD" w14:textId="1DA3D060"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2</w:t>
      </w:r>
      <w:r>
        <w:rPr>
          <w:rFonts w:ascii="Arial" w:eastAsia="宋体" w:hAnsi="Arial"/>
          <w:color w:val="auto"/>
          <w:sz w:val="21"/>
          <w:szCs w:val="21"/>
        </w:rPr>
        <w:t>、基金证券账户的开立和使用，限于满足开展本基金业务的需要。基金托管人和基金管理人不得出借或转让本基金的</w:t>
      </w:r>
      <w:r w:rsidR="00D13793">
        <w:rPr>
          <w:rFonts w:ascii="Arial" w:eastAsia="宋体" w:hAnsi="Arial" w:hint="eastAsia"/>
          <w:color w:val="auto"/>
          <w:sz w:val="21"/>
          <w:szCs w:val="21"/>
        </w:rPr>
        <w:t>任何</w:t>
      </w:r>
      <w:r>
        <w:rPr>
          <w:rFonts w:ascii="Arial" w:eastAsia="宋体" w:hAnsi="Arial"/>
          <w:color w:val="auto"/>
          <w:sz w:val="21"/>
          <w:szCs w:val="21"/>
        </w:rPr>
        <w:t>证券账户，亦不得使用本基金的</w:t>
      </w:r>
      <w:r w:rsidR="00D13793">
        <w:rPr>
          <w:rFonts w:ascii="Arial" w:eastAsia="宋体" w:hAnsi="Arial" w:hint="eastAsia"/>
          <w:color w:val="auto"/>
          <w:sz w:val="21"/>
          <w:szCs w:val="21"/>
        </w:rPr>
        <w:t>任何</w:t>
      </w:r>
      <w:r>
        <w:rPr>
          <w:rFonts w:ascii="Arial" w:eastAsia="宋体" w:hAnsi="Arial"/>
          <w:color w:val="auto"/>
          <w:sz w:val="21"/>
          <w:szCs w:val="21"/>
        </w:rPr>
        <w:t>账户进行本基金业务以外的活动。</w:t>
      </w:r>
    </w:p>
    <w:p w14:paraId="162EF5F6" w14:textId="68713E0D"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3</w:t>
      </w:r>
      <w:r>
        <w:rPr>
          <w:rFonts w:ascii="Arial" w:eastAsia="宋体" w:hAnsi="Arial"/>
          <w:color w:val="auto"/>
          <w:sz w:val="21"/>
          <w:szCs w:val="21"/>
        </w:rPr>
        <w:t>、</w:t>
      </w:r>
      <w:r w:rsidR="00AC0A56" w:rsidRPr="00AC0A56">
        <w:rPr>
          <w:rFonts w:ascii="Arial" w:eastAsia="宋体" w:hAnsi="Arial" w:hint="eastAsia"/>
          <w:color w:val="auto"/>
          <w:sz w:val="21"/>
          <w:szCs w:val="21"/>
        </w:rPr>
        <w:t>在本托管协议生效日之后，本基金被允许从事其他投资品种的投资业务的，涉及相关账户的开设、使用的，若无相关规定，</w:t>
      </w:r>
      <w:proofErr w:type="gramStart"/>
      <w:r w:rsidR="00AC0A56" w:rsidRPr="00AC0A56">
        <w:rPr>
          <w:rFonts w:ascii="Arial" w:eastAsia="宋体" w:hAnsi="Arial" w:hint="eastAsia"/>
          <w:color w:val="auto"/>
          <w:sz w:val="21"/>
          <w:szCs w:val="21"/>
        </w:rPr>
        <w:t>则基金</w:t>
      </w:r>
      <w:proofErr w:type="gramEnd"/>
      <w:r w:rsidR="00AC0A56" w:rsidRPr="00AC0A56">
        <w:rPr>
          <w:rFonts w:ascii="Arial" w:eastAsia="宋体" w:hAnsi="Arial" w:hint="eastAsia"/>
          <w:color w:val="auto"/>
          <w:sz w:val="21"/>
          <w:szCs w:val="21"/>
        </w:rPr>
        <w:t>托管人应当比照并遵守上述关于账户开设、使用的规定。</w:t>
      </w:r>
    </w:p>
    <w:p w14:paraId="229EA8ED" w14:textId="6A0507B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4</w:t>
      </w:r>
      <w:r>
        <w:rPr>
          <w:rFonts w:ascii="Arial" w:eastAsia="宋体" w:hAnsi="Arial"/>
          <w:color w:val="auto"/>
          <w:sz w:val="21"/>
          <w:szCs w:val="21"/>
        </w:rPr>
        <w:t>、法律法规等有关规定对相关账户的开立和管理另有规定的，从其规定办理。</w:t>
      </w:r>
    </w:p>
    <w:p w14:paraId="79E084CB" w14:textId="77777777" w:rsidR="00AC0A56" w:rsidRDefault="00CA50F3" w:rsidP="00AC0A56">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（六）</w:t>
      </w:r>
      <w:r w:rsidR="00AC0A56" w:rsidRPr="00AC0A56">
        <w:rPr>
          <w:rFonts w:ascii="Arial" w:eastAsia="宋体" w:hAnsi="Arial" w:hint="eastAsia"/>
          <w:color w:val="auto"/>
          <w:sz w:val="21"/>
          <w:szCs w:val="21"/>
        </w:rPr>
        <w:t>证券资金账户的开立和管理</w:t>
      </w:r>
    </w:p>
    <w:p w14:paraId="4C9A29F1" w14:textId="786554C4" w:rsidR="008247B4" w:rsidRDefault="00AC0A56" w:rsidP="006D30D2">
      <w:pPr>
        <w:pStyle w:val="1f"/>
        <w:spacing w:before="100" w:beforeAutospacing="1" w:after="100" w:afterAutospacing="1"/>
        <w:ind w:firstLine="403"/>
        <w:rPr>
          <w:rFonts w:ascii="Arial" w:eastAsia="宋体" w:hAnsi="Arial"/>
          <w:color w:val="auto"/>
          <w:sz w:val="21"/>
          <w:szCs w:val="21"/>
        </w:rPr>
      </w:pPr>
      <w:r w:rsidRPr="006D30D2">
        <w:rPr>
          <w:rFonts w:ascii="Arial" w:eastAsia="宋体" w:hAnsi="Arial" w:hint="eastAsia"/>
          <w:color w:val="auto"/>
          <w:sz w:val="21"/>
          <w:szCs w:val="21"/>
        </w:rPr>
        <w:t>1</w:t>
      </w:r>
      <w:r w:rsidRPr="0049207F">
        <w:rPr>
          <w:rFonts w:ascii="Arial" w:eastAsia="宋体" w:hAnsi="Arial" w:hint="eastAsia"/>
          <w:color w:val="auto"/>
          <w:sz w:val="21"/>
          <w:szCs w:val="21"/>
        </w:rPr>
        <w:t>、</w:t>
      </w:r>
      <w:r w:rsidRPr="006D30D2">
        <w:rPr>
          <w:rFonts w:ascii="Arial" w:eastAsia="宋体" w:hAnsi="Arial" w:hint="eastAsia"/>
          <w:color w:val="auto"/>
          <w:sz w:val="21"/>
          <w:szCs w:val="21"/>
        </w:rPr>
        <w:t>基金管理人以本基金名义在基金管理人选择的证券经纪商营业网点开立证券资金账户，并按照该营业网点开户的流程和要求，签订相关协议。</w:t>
      </w:r>
      <w:r w:rsidR="006D30D2" w:rsidRPr="00811EEE">
        <w:rPr>
          <w:rFonts w:ascii="Arial" w:eastAsia="宋体" w:hAnsi="Arial" w:hint="eastAsia"/>
          <w:color w:val="auto"/>
          <w:sz w:val="21"/>
          <w:szCs w:val="21"/>
        </w:rPr>
        <w:t>证券资金账户用于基金财产证券交易结算资金的存管、记载交易结算资金的变动明细以及场内证券交易清算。</w:t>
      </w:r>
      <w:r w:rsidRPr="006D30D2">
        <w:rPr>
          <w:rFonts w:ascii="Arial" w:eastAsia="宋体" w:hAnsi="Arial" w:hint="eastAsia"/>
          <w:color w:val="auto"/>
          <w:sz w:val="21"/>
          <w:szCs w:val="21"/>
        </w:rPr>
        <w:t>证券资金账户与</w:t>
      </w:r>
      <w:r w:rsidR="006F1E3B">
        <w:rPr>
          <w:rFonts w:ascii="Arial" w:eastAsia="宋体" w:hAnsi="Arial" w:hint="eastAsia"/>
          <w:color w:val="auto"/>
          <w:sz w:val="21"/>
          <w:szCs w:val="21"/>
        </w:rPr>
        <w:t>基金</w:t>
      </w:r>
      <w:r w:rsidR="00F47A38" w:rsidRPr="0049207F">
        <w:rPr>
          <w:rFonts w:ascii="Arial" w:eastAsia="宋体" w:hAnsi="Arial" w:hint="eastAsia"/>
          <w:color w:val="auto"/>
          <w:sz w:val="21"/>
          <w:szCs w:val="21"/>
        </w:rPr>
        <w:t>托管账户之间建立银证转账对应关系</w:t>
      </w:r>
      <w:r w:rsidRPr="007C5DFE">
        <w:rPr>
          <w:rFonts w:ascii="Arial" w:eastAsia="宋体" w:hAnsi="Arial" w:hint="eastAsia"/>
          <w:color w:val="auto"/>
          <w:sz w:val="21"/>
          <w:szCs w:val="21"/>
        </w:rPr>
        <w:t>。</w:t>
      </w:r>
    </w:p>
    <w:p w14:paraId="50B0B0F4" w14:textId="57148488" w:rsidR="00D13793" w:rsidRDefault="00D13793" w:rsidP="00AC0A56">
      <w:pPr>
        <w:pStyle w:val="1f"/>
        <w:spacing w:before="100" w:beforeAutospacing="1" w:after="100" w:afterAutospacing="1"/>
        <w:ind w:firstLine="403"/>
        <w:rPr>
          <w:rFonts w:ascii="Arial" w:eastAsia="宋体" w:hAnsi="Arial"/>
          <w:color w:val="auto"/>
          <w:sz w:val="21"/>
          <w:szCs w:val="21"/>
        </w:rPr>
      </w:pPr>
      <w:r w:rsidRPr="0033703A">
        <w:rPr>
          <w:rFonts w:ascii="Arial" w:eastAsia="宋体" w:hAnsi="Arial" w:hint="eastAsia"/>
          <w:color w:val="auto"/>
          <w:sz w:val="21"/>
          <w:szCs w:val="21"/>
        </w:rPr>
        <w:t>2</w:t>
      </w:r>
      <w:r w:rsidRPr="0033703A">
        <w:rPr>
          <w:rFonts w:ascii="Arial" w:eastAsia="宋体" w:hAnsi="Arial" w:hint="eastAsia"/>
          <w:color w:val="auto"/>
          <w:sz w:val="21"/>
          <w:szCs w:val="21"/>
        </w:rPr>
        <w:t>、交易所证券交易资金采用第三方存管模式，即用于证券交易结算资金全额存放</w:t>
      </w:r>
      <w:r w:rsidR="00F47A38" w:rsidRPr="00811EEE">
        <w:rPr>
          <w:rFonts w:ascii="Arial" w:eastAsia="宋体" w:hAnsi="Arial" w:hint="eastAsia"/>
          <w:color w:val="auto"/>
          <w:sz w:val="21"/>
          <w:szCs w:val="21"/>
        </w:rPr>
        <w:t>在</w:t>
      </w:r>
      <w:r w:rsidRPr="0033703A">
        <w:rPr>
          <w:rFonts w:ascii="Arial" w:eastAsia="宋体" w:hAnsi="Arial" w:hint="eastAsia"/>
          <w:color w:val="auto"/>
          <w:sz w:val="21"/>
          <w:szCs w:val="21"/>
        </w:rPr>
        <w:t>证券资金账户中，场内的证券交易资金清算由基金管理人所选择的证券</w:t>
      </w:r>
      <w:r w:rsidRPr="00811EEE">
        <w:rPr>
          <w:rFonts w:ascii="Arial" w:eastAsia="宋体" w:hAnsi="Arial" w:hint="eastAsia"/>
          <w:color w:val="auto"/>
          <w:sz w:val="21"/>
          <w:szCs w:val="21"/>
        </w:rPr>
        <w:t>经纪商</w:t>
      </w:r>
      <w:r w:rsidRPr="0033703A">
        <w:rPr>
          <w:rFonts w:ascii="Arial" w:eastAsia="宋体" w:hAnsi="Arial" w:hint="eastAsia"/>
          <w:color w:val="auto"/>
          <w:sz w:val="21"/>
          <w:szCs w:val="21"/>
        </w:rPr>
        <w:t>负责。基金托管人不负责办理场内的证券交易资金清算，也不负责保管证券资金账户内存放的资金。</w:t>
      </w:r>
    </w:p>
    <w:p w14:paraId="5147D186"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（七）债券托管专户的开设和管理</w:t>
      </w:r>
    </w:p>
    <w:p w14:paraId="4B3DECC0"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基金合同生效后，基金管理人负责以基金的名义申请并取得进入全国银行间同业拆借市场的交易资格，并代表基金进行交易；由基金管理人负责向中国人民银行报备，在上述</w:t>
      </w:r>
      <w:r>
        <w:rPr>
          <w:rFonts w:ascii="Arial" w:eastAsia="宋体" w:hAnsi="Arial"/>
          <w:color w:val="auto"/>
          <w:sz w:val="21"/>
          <w:szCs w:val="21"/>
        </w:rPr>
        <w:lastRenderedPageBreak/>
        <w:t>手续办理完毕之后，基金托管人负责以基金的名义在中央国债登记结算有限责任公司与银行间市场清算所股份有限公司开设银行间债券市场债券托管账户和资金结算专户，并代表基金进行银行间债券市场债券和资金的清算。</w:t>
      </w:r>
    </w:p>
    <w:p w14:paraId="21B0713F"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（八）基金财产投资的有关有价凭证的保管</w:t>
      </w:r>
    </w:p>
    <w:p w14:paraId="08F53C28"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基金财产投资的实物证券、银行定期存款存单等有价凭证由基金托管人负责妥善保管。基金托管人对其以外机构实际有效控制的有价凭证不承担责任。</w:t>
      </w:r>
    </w:p>
    <w:p w14:paraId="43117BD6"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（九）与基金财产有关的重大合同及有关凭证的保管</w:t>
      </w:r>
    </w:p>
    <w:p w14:paraId="10C88827"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基金托管人按照法律法规保管由基金管理人代表基金签署的与基金有关的重大合同及有关凭证。基金管理人代表基金签署有关重大合同后应在收到合同正本后</w:t>
      </w:r>
      <w:r>
        <w:rPr>
          <w:rFonts w:ascii="Arial" w:eastAsia="宋体" w:hAnsi="Arial"/>
          <w:color w:val="auto"/>
          <w:sz w:val="21"/>
          <w:szCs w:val="21"/>
        </w:rPr>
        <w:t>30</w:t>
      </w:r>
      <w:r>
        <w:rPr>
          <w:rFonts w:ascii="Arial" w:eastAsia="宋体" w:hAnsi="Arial"/>
          <w:color w:val="auto"/>
          <w:sz w:val="21"/>
          <w:szCs w:val="21"/>
        </w:rPr>
        <w:t>日内将一份正本的原件提交给基金托管人。除本协议另有规定外，基金管理人在代表基金签署与基金有关的重大合同时应</w:t>
      </w:r>
      <w:r>
        <w:rPr>
          <w:rFonts w:ascii="Arial" w:eastAsia="宋体" w:hAnsi="Arial" w:hint="eastAsia"/>
          <w:color w:val="auto"/>
          <w:sz w:val="21"/>
          <w:szCs w:val="21"/>
        </w:rPr>
        <w:t>尽量</w:t>
      </w:r>
      <w:r>
        <w:rPr>
          <w:rFonts w:ascii="Arial" w:eastAsia="宋体" w:hAnsi="Arial"/>
          <w:color w:val="auto"/>
          <w:sz w:val="21"/>
          <w:szCs w:val="21"/>
        </w:rPr>
        <w:t>保证基金一方持有两份以上的正本，以便基金管理人和基金托管人至少各持有一份正本的原件。重大合同由基金管理人与基金托管人按规定各自保管，保管期限不少于法律法规的规定。</w:t>
      </w:r>
    </w:p>
    <w:p w14:paraId="781BF79D" w14:textId="4CD2FB2C"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对于无法取得两份以上的正本的，基金管理人应向基金托管人提供加盖公章的合同复印件</w:t>
      </w:r>
      <w:r w:rsidR="00FC37EE">
        <w:rPr>
          <w:rFonts w:ascii="Arial" w:eastAsia="宋体" w:hAnsi="Arial" w:hint="eastAsia"/>
          <w:color w:val="auto"/>
          <w:sz w:val="21"/>
          <w:szCs w:val="21"/>
        </w:rPr>
        <w:t>，</w:t>
      </w:r>
      <w:r>
        <w:rPr>
          <w:rFonts w:ascii="Arial" w:eastAsia="宋体" w:hAnsi="Arial"/>
          <w:color w:val="auto"/>
          <w:sz w:val="21"/>
          <w:szCs w:val="21"/>
        </w:rPr>
        <w:t>未经双方协商或未在合同约定范围内，合同原件不得转移。</w:t>
      </w:r>
      <w:bookmarkEnd w:id="13"/>
    </w:p>
    <w:p w14:paraId="63F72BC2" w14:textId="77777777" w:rsidR="008247B4" w:rsidRDefault="00CA50F3">
      <w:pPr>
        <w:pStyle w:val="116"/>
        <w:spacing w:before="100" w:beforeAutospacing="1" w:after="100" w:afterAutospacing="1" w:line="400" w:lineRule="exact"/>
        <w:ind w:firstLine="422"/>
        <w:rPr>
          <w:rFonts w:ascii="Arial" w:hAnsi="Arial"/>
          <w:sz w:val="21"/>
          <w:szCs w:val="21"/>
        </w:rPr>
      </w:pPr>
      <w:bookmarkStart w:id="19" w:name="_Toc116900100"/>
      <w:bookmarkStart w:id="20" w:name="_Toc202171867"/>
      <w:r>
        <w:rPr>
          <w:rFonts w:ascii="Arial" w:hAnsi="Arial"/>
          <w:sz w:val="21"/>
          <w:szCs w:val="21"/>
        </w:rPr>
        <w:t>六、指令的发送、确认及执行</w:t>
      </w:r>
      <w:bookmarkEnd w:id="19"/>
      <w:bookmarkEnd w:id="20"/>
    </w:p>
    <w:p w14:paraId="2DC01234" w14:textId="2D7BEE39" w:rsidR="0033703A" w:rsidRPr="0033703A" w:rsidRDefault="0033703A" w:rsidP="0033703A">
      <w:pPr>
        <w:pStyle w:val="1f"/>
        <w:spacing w:before="100" w:beforeAutospacing="1" w:after="100" w:afterAutospacing="1"/>
        <w:ind w:firstLine="403"/>
        <w:rPr>
          <w:rFonts w:ascii="Arial" w:eastAsia="宋体" w:hAnsi="Arial"/>
          <w:color w:val="auto"/>
          <w:sz w:val="21"/>
          <w:szCs w:val="21"/>
        </w:rPr>
      </w:pPr>
      <w:r w:rsidRPr="0033703A">
        <w:rPr>
          <w:rFonts w:ascii="Arial" w:eastAsia="宋体" w:hAnsi="Arial" w:hint="eastAsia"/>
          <w:color w:val="auto"/>
          <w:sz w:val="21"/>
          <w:szCs w:val="21"/>
        </w:rPr>
        <w:t>基金管理人</w:t>
      </w:r>
      <w:r w:rsidR="002571C3">
        <w:rPr>
          <w:rFonts w:ascii="Arial" w:eastAsia="宋体" w:hAnsi="Arial" w:hint="eastAsia"/>
          <w:color w:val="auto"/>
          <w:sz w:val="21"/>
          <w:szCs w:val="21"/>
        </w:rPr>
        <w:t>在运用基金财产开展场内证券交易前，</w:t>
      </w:r>
      <w:r w:rsidRPr="0033703A">
        <w:rPr>
          <w:rFonts w:ascii="Arial" w:eastAsia="宋体" w:hAnsi="Arial" w:hint="eastAsia"/>
          <w:color w:val="auto"/>
          <w:sz w:val="21"/>
          <w:szCs w:val="21"/>
        </w:rPr>
        <w:t>通过托管账户与证券资金账户已建立的第三方存管系统在托管账户与证券资金账户之间划款，</w:t>
      </w:r>
      <w:proofErr w:type="gramStart"/>
      <w:r w:rsidRPr="0033703A">
        <w:rPr>
          <w:rFonts w:ascii="Arial" w:eastAsia="宋体" w:hAnsi="Arial" w:hint="eastAsia"/>
          <w:color w:val="auto"/>
          <w:sz w:val="21"/>
          <w:szCs w:val="21"/>
        </w:rPr>
        <w:t>即银证互</w:t>
      </w:r>
      <w:proofErr w:type="gramEnd"/>
      <w:r w:rsidRPr="0033703A">
        <w:rPr>
          <w:rFonts w:ascii="Arial" w:eastAsia="宋体" w:hAnsi="Arial" w:hint="eastAsia"/>
          <w:color w:val="auto"/>
          <w:sz w:val="21"/>
          <w:szCs w:val="21"/>
        </w:rPr>
        <w:t>转。基金管理人通过基金托管人进行</w:t>
      </w:r>
      <w:proofErr w:type="gramStart"/>
      <w:r w:rsidRPr="0033703A">
        <w:rPr>
          <w:rFonts w:ascii="Arial" w:eastAsia="宋体" w:hAnsi="Arial" w:hint="eastAsia"/>
          <w:color w:val="auto"/>
          <w:sz w:val="21"/>
          <w:szCs w:val="21"/>
        </w:rPr>
        <w:t>银证互转</w:t>
      </w:r>
      <w:proofErr w:type="gramEnd"/>
      <w:r w:rsidRPr="0033703A">
        <w:rPr>
          <w:rFonts w:ascii="Arial" w:eastAsia="宋体" w:hAnsi="Arial" w:hint="eastAsia"/>
          <w:color w:val="auto"/>
          <w:sz w:val="21"/>
          <w:szCs w:val="21"/>
        </w:rPr>
        <w:t>，由基金管理人向基金托管人发送指令，基金托管人操作。</w:t>
      </w:r>
    </w:p>
    <w:p w14:paraId="7FA69E1F" w14:textId="3C871960" w:rsidR="0033703A" w:rsidRDefault="0033703A" w:rsidP="0033703A">
      <w:pPr>
        <w:pStyle w:val="1f"/>
        <w:spacing w:before="100" w:beforeAutospacing="1" w:after="100" w:afterAutospacing="1"/>
        <w:ind w:firstLine="403"/>
        <w:rPr>
          <w:rFonts w:ascii="Arial" w:eastAsia="宋体" w:hAnsi="Arial"/>
          <w:color w:val="auto"/>
          <w:sz w:val="21"/>
          <w:szCs w:val="21"/>
        </w:rPr>
      </w:pPr>
      <w:r w:rsidRPr="0033703A">
        <w:rPr>
          <w:rFonts w:ascii="Arial" w:eastAsia="宋体" w:hAnsi="Arial" w:hint="eastAsia"/>
          <w:color w:val="auto"/>
          <w:sz w:val="21"/>
          <w:szCs w:val="21"/>
        </w:rPr>
        <w:t>基金管理人在运用基金财产时向基金托管人发送</w:t>
      </w:r>
      <w:proofErr w:type="gramStart"/>
      <w:r w:rsidRPr="0033703A">
        <w:rPr>
          <w:rFonts w:ascii="Arial" w:eastAsia="宋体" w:hAnsi="Arial" w:hint="eastAsia"/>
          <w:color w:val="auto"/>
          <w:sz w:val="21"/>
          <w:szCs w:val="21"/>
        </w:rPr>
        <w:t>银证互转</w:t>
      </w:r>
      <w:proofErr w:type="gramEnd"/>
      <w:r w:rsidRPr="0033703A">
        <w:rPr>
          <w:rFonts w:ascii="Arial" w:eastAsia="宋体" w:hAnsi="Arial" w:hint="eastAsia"/>
          <w:color w:val="auto"/>
          <w:sz w:val="21"/>
          <w:szCs w:val="21"/>
        </w:rPr>
        <w:t>、场外交易资金划拨及其他款项付款指令，基金托管人执行基金管理人的指令、办理基金名下的资金往来等有关事项。</w:t>
      </w:r>
    </w:p>
    <w:p w14:paraId="1C5696B5" w14:textId="030C9562"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基金管理人发送的指令包括电子指令和纸质指令。</w:t>
      </w:r>
    </w:p>
    <w:p w14:paraId="40E06071" w14:textId="57AE6158"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电子指令</w:t>
      </w:r>
      <w:r w:rsidR="00D25D5A">
        <w:rPr>
          <w:rFonts w:ascii="Arial" w:eastAsia="宋体" w:hAnsi="Arial" w:hint="eastAsia"/>
          <w:color w:val="auto"/>
          <w:sz w:val="21"/>
          <w:szCs w:val="21"/>
        </w:rPr>
        <w:t>指</w:t>
      </w:r>
      <w:r>
        <w:rPr>
          <w:rFonts w:ascii="Arial" w:eastAsia="宋体" w:hAnsi="Arial"/>
          <w:color w:val="auto"/>
          <w:sz w:val="21"/>
          <w:szCs w:val="21"/>
        </w:rPr>
        <w:t>基金管理人采用深</w:t>
      </w:r>
      <w:proofErr w:type="gramStart"/>
      <w:r>
        <w:rPr>
          <w:rFonts w:ascii="Arial" w:eastAsia="宋体" w:hAnsi="Arial"/>
          <w:color w:val="auto"/>
          <w:sz w:val="21"/>
          <w:szCs w:val="21"/>
        </w:rPr>
        <w:t>证通金融</w:t>
      </w:r>
      <w:proofErr w:type="gramEnd"/>
      <w:r>
        <w:rPr>
          <w:rFonts w:ascii="Arial" w:eastAsia="宋体" w:hAnsi="Arial"/>
          <w:color w:val="auto"/>
          <w:sz w:val="21"/>
          <w:szCs w:val="21"/>
        </w:rPr>
        <w:t>数据交换平台发送的电子指令。电子指令一经发出即被视为合法有效指令，纸质指令作为应急方式备用。基金管理人通过深</w:t>
      </w:r>
      <w:proofErr w:type="gramStart"/>
      <w:r>
        <w:rPr>
          <w:rFonts w:ascii="Arial" w:eastAsia="宋体" w:hAnsi="Arial"/>
          <w:color w:val="auto"/>
          <w:sz w:val="21"/>
          <w:szCs w:val="21"/>
        </w:rPr>
        <w:t>证通金融</w:t>
      </w:r>
      <w:proofErr w:type="gramEnd"/>
      <w:r>
        <w:rPr>
          <w:rFonts w:ascii="Arial" w:eastAsia="宋体" w:hAnsi="Arial"/>
          <w:color w:val="auto"/>
          <w:sz w:val="21"/>
          <w:szCs w:val="21"/>
        </w:rPr>
        <w:t>数据交换平台发送的电子指令</w:t>
      </w:r>
      <w:r w:rsidRPr="00115B7B">
        <w:rPr>
          <w:rFonts w:ascii="Arial" w:eastAsia="宋体" w:hAnsi="Arial"/>
          <w:color w:val="auto"/>
          <w:sz w:val="21"/>
          <w:szCs w:val="21"/>
        </w:rPr>
        <w:t>，基金托管人根据</w:t>
      </w:r>
      <w:r w:rsidRPr="00115B7B">
        <w:rPr>
          <w:rFonts w:ascii="Arial" w:eastAsia="宋体" w:hAnsi="Arial"/>
          <w:color w:val="auto"/>
          <w:sz w:val="21"/>
          <w:szCs w:val="21"/>
        </w:rPr>
        <w:t>USER ID</w:t>
      </w:r>
      <w:r w:rsidRPr="00115B7B">
        <w:rPr>
          <w:rFonts w:ascii="Arial" w:eastAsia="宋体" w:hAnsi="Arial"/>
          <w:color w:val="auto"/>
          <w:sz w:val="21"/>
          <w:szCs w:val="21"/>
        </w:rPr>
        <w:t>和</w:t>
      </w:r>
      <w:r w:rsidRPr="00115B7B">
        <w:rPr>
          <w:rFonts w:ascii="Arial" w:eastAsia="宋体" w:hAnsi="Arial"/>
          <w:color w:val="auto"/>
          <w:sz w:val="21"/>
          <w:szCs w:val="21"/>
        </w:rPr>
        <w:t>APP ID</w:t>
      </w:r>
      <w:r w:rsidRPr="00115B7B">
        <w:rPr>
          <w:rFonts w:ascii="Arial" w:eastAsia="宋体" w:hAnsi="Arial"/>
          <w:color w:val="auto"/>
          <w:sz w:val="21"/>
          <w:szCs w:val="21"/>
        </w:rPr>
        <w:t>唯一识别基金管理人身份，基金管理人应妥善保管</w:t>
      </w:r>
      <w:r w:rsidRPr="00115B7B">
        <w:rPr>
          <w:rFonts w:ascii="Arial" w:eastAsia="宋体" w:hAnsi="Arial"/>
          <w:color w:val="auto"/>
          <w:sz w:val="21"/>
          <w:szCs w:val="21"/>
        </w:rPr>
        <w:t>USER ID</w:t>
      </w:r>
      <w:r w:rsidRPr="00115B7B">
        <w:rPr>
          <w:rFonts w:ascii="Arial" w:eastAsia="宋体" w:hAnsi="Arial"/>
          <w:color w:val="auto"/>
          <w:sz w:val="21"/>
          <w:szCs w:val="21"/>
        </w:rPr>
        <w:t>和</w:t>
      </w:r>
      <w:r w:rsidRPr="00115B7B">
        <w:rPr>
          <w:rFonts w:ascii="Arial" w:eastAsia="宋体" w:hAnsi="Arial"/>
          <w:color w:val="auto"/>
          <w:sz w:val="21"/>
          <w:szCs w:val="21"/>
        </w:rPr>
        <w:t>APP ID</w:t>
      </w:r>
      <w:r w:rsidRPr="00115B7B">
        <w:rPr>
          <w:rFonts w:ascii="Arial" w:eastAsia="宋体" w:hAnsi="Arial"/>
          <w:color w:val="auto"/>
          <w:sz w:val="21"/>
          <w:szCs w:val="21"/>
        </w:rPr>
        <w:t>，基</w:t>
      </w:r>
      <w:r>
        <w:rPr>
          <w:rFonts w:ascii="Arial" w:eastAsia="宋体" w:hAnsi="Arial"/>
          <w:color w:val="auto"/>
          <w:sz w:val="21"/>
          <w:szCs w:val="21"/>
        </w:rPr>
        <w:t>金托管人身份识别后对于执行该电子</w:t>
      </w:r>
      <w:r>
        <w:rPr>
          <w:rFonts w:ascii="Arial" w:eastAsia="宋体" w:hAnsi="Arial"/>
          <w:color w:val="auto"/>
          <w:sz w:val="21"/>
          <w:szCs w:val="21"/>
        </w:rPr>
        <w:lastRenderedPageBreak/>
        <w:t>指令造成的</w:t>
      </w:r>
      <w:r>
        <w:rPr>
          <w:rFonts w:ascii="Arial" w:eastAsia="宋体" w:hAnsi="Arial" w:hint="eastAsia"/>
          <w:color w:val="auto"/>
          <w:sz w:val="21"/>
          <w:szCs w:val="21"/>
        </w:rPr>
        <w:t>相应</w:t>
      </w:r>
      <w:r>
        <w:rPr>
          <w:rFonts w:ascii="Arial" w:eastAsia="宋体" w:hAnsi="Arial"/>
          <w:color w:val="auto"/>
          <w:sz w:val="21"/>
          <w:szCs w:val="21"/>
        </w:rPr>
        <w:t>损失基金托管人不承担责任。</w:t>
      </w:r>
    </w:p>
    <w:p w14:paraId="6BEBF97A" w14:textId="1ABB11FE" w:rsidR="003404C6" w:rsidRDefault="00CA50F3" w:rsidP="00F47A38">
      <w:pPr>
        <w:spacing w:before="100" w:after="100" w:line="400" w:lineRule="atLeast"/>
        <w:ind w:firstLine="403"/>
        <w:jc w:val="both"/>
        <w:rPr>
          <w:rFonts w:ascii="宋体" w:hAnsi="宋体" w:cs="宋体"/>
          <w:sz w:val="21"/>
          <w:lang w:eastAsia="zh-CN"/>
        </w:rPr>
      </w:pPr>
      <w:r>
        <w:rPr>
          <w:rFonts w:ascii="宋体" w:cs="宋体"/>
          <w:sz w:val="21"/>
          <w:lang w:eastAsia="zh-CN"/>
        </w:rPr>
        <w:t>纸质指令是指基金管理人无法通过以上电子传送渠道传送到基金托管人的指令，纸质指令的传送方式为传真、邮件等双方认可的方式。</w:t>
      </w:r>
    </w:p>
    <w:p w14:paraId="15C7DB01"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（一）基金管理人对纸质指令发送人员的书面授权</w:t>
      </w:r>
    </w:p>
    <w:p w14:paraId="2F2982EA"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、基金管理人应当事先向基金托管人发出书面通知（以下称</w:t>
      </w:r>
      <w:r>
        <w:rPr>
          <w:rFonts w:ascii="Arial" w:eastAsia="宋体" w:hAnsi="Arial"/>
          <w:color w:val="auto"/>
          <w:sz w:val="21"/>
          <w:szCs w:val="21"/>
        </w:rPr>
        <w:t>“</w:t>
      </w:r>
      <w:r>
        <w:rPr>
          <w:rFonts w:ascii="Arial" w:eastAsia="宋体" w:hAnsi="Arial"/>
          <w:color w:val="auto"/>
          <w:sz w:val="21"/>
          <w:szCs w:val="21"/>
        </w:rPr>
        <w:t>授权通知</w:t>
      </w:r>
      <w:r>
        <w:rPr>
          <w:rFonts w:ascii="Arial" w:eastAsia="宋体" w:hAnsi="Arial"/>
          <w:color w:val="auto"/>
          <w:sz w:val="21"/>
          <w:szCs w:val="21"/>
        </w:rPr>
        <w:t>”</w:t>
      </w:r>
      <w:r>
        <w:rPr>
          <w:rFonts w:ascii="Arial" w:eastAsia="宋体" w:hAnsi="Arial"/>
          <w:color w:val="auto"/>
          <w:sz w:val="21"/>
          <w:szCs w:val="21"/>
        </w:rPr>
        <w:t>），载明基金管理人有权发送指令的人员名单（以下称</w:t>
      </w:r>
      <w:r>
        <w:rPr>
          <w:rFonts w:ascii="Arial" w:eastAsia="宋体" w:hAnsi="Arial"/>
          <w:color w:val="auto"/>
          <w:sz w:val="21"/>
          <w:szCs w:val="21"/>
        </w:rPr>
        <w:t>“</w:t>
      </w:r>
      <w:r>
        <w:rPr>
          <w:rFonts w:ascii="Arial" w:eastAsia="宋体" w:hAnsi="Arial"/>
          <w:color w:val="auto"/>
          <w:sz w:val="21"/>
          <w:szCs w:val="21"/>
        </w:rPr>
        <w:t>指令发送人员</w:t>
      </w:r>
      <w:r>
        <w:rPr>
          <w:rFonts w:ascii="Arial" w:eastAsia="宋体" w:hAnsi="Arial"/>
          <w:color w:val="auto"/>
          <w:sz w:val="21"/>
          <w:szCs w:val="21"/>
        </w:rPr>
        <w:t>”</w:t>
      </w:r>
      <w:r>
        <w:rPr>
          <w:rFonts w:ascii="Arial" w:eastAsia="宋体" w:hAnsi="Arial"/>
          <w:color w:val="auto"/>
          <w:sz w:val="21"/>
          <w:szCs w:val="21"/>
        </w:rPr>
        <w:t>）及各个人员的权限范围。基金管理人应向基金托管人提供指令发送人员的人名印鉴的预留印鉴样本和签</w:t>
      </w:r>
      <w:r>
        <w:rPr>
          <w:rFonts w:ascii="Arial" w:eastAsia="宋体" w:hAnsi="Arial" w:hint="eastAsia"/>
          <w:color w:val="auto"/>
          <w:sz w:val="21"/>
          <w:szCs w:val="21"/>
        </w:rPr>
        <w:t>章</w:t>
      </w:r>
      <w:r>
        <w:rPr>
          <w:rFonts w:ascii="Arial" w:eastAsia="宋体" w:hAnsi="Arial"/>
          <w:color w:val="auto"/>
          <w:sz w:val="21"/>
          <w:szCs w:val="21"/>
        </w:rPr>
        <w:t>样本。</w:t>
      </w:r>
    </w:p>
    <w:p w14:paraId="669024C5"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2</w:t>
      </w:r>
      <w:r>
        <w:rPr>
          <w:rFonts w:ascii="Arial" w:eastAsia="宋体" w:hAnsi="Arial"/>
          <w:color w:val="auto"/>
          <w:sz w:val="21"/>
          <w:szCs w:val="21"/>
        </w:rPr>
        <w:t>、基金管理人向基金托管人发出的授权通知应加盖公章</w:t>
      </w:r>
      <w:r>
        <w:rPr>
          <w:rFonts w:ascii="Arial" w:eastAsia="宋体" w:hAnsi="Arial" w:hint="eastAsia"/>
          <w:color w:val="auto"/>
          <w:sz w:val="21"/>
          <w:szCs w:val="21"/>
        </w:rPr>
        <w:t>并由法定代表人或其授权代表签署，若由授权代表签署，还应附上法定代表人的授权书</w:t>
      </w:r>
      <w:r>
        <w:rPr>
          <w:rFonts w:ascii="Arial" w:eastAsia="宋体" w:hAnsi="Arial"/>
          <w:color w:val="auto"/>
          <w:sz w:val="21"/>
          <w:szCs w:val="21"/>
        </w:rPr>
        <w:t>。基金管理人向基金托管人以传真</w:t>
      </w:r>
      <w:r>
        <w:rPr>
          <w:rFonts w:ascii="Arial" w:eastAsia="宋体" w:hAnsi="Arial" w:hint="eastAsia"/>
          <w:color w:val="auto"/>
          <w:sz w:val="21"/>
          <w:szCs w:val="21"/>
        </w:rPr>
        <w:t>或双方约定的其他</w:t>
      </w:r>
      <w:r>
        <w:rPr>
          <w:rFonts w:ascii="Arial" w:eastAsia="宋体" w:hAnsi="Arial"/>
          <w:color w:val="auto"/>
          <w:sz w:val="21"/>
          <w:szCs w:val="21"/>
        </w:rPr>
        <w:t>形式发送授权通知后同时电话通知基金托管人。授权通知自基金托管人接到基金管理人的电话确认后于通知载明的生效时间起生效。通知载明的生效时间不得早于电话确认时间。基金管理人在此后</w:t>
      </w:r>
      <w:r>
        <w:rPr>
          <w:rFonts w:ascii="Arial" w:eastAsia="宋体" w:hAnsi="Arial"/>
          <w:color w:val="auto"/>
          <w:sz w:val="21"/>
          <w:szCs w:val="21"/>
        </w:rPr>
        <w:t>3</w:t>
      </w:r>
      <w:r>
        <w:rPr>
          <w:rFonts w:ascii="Arial" w:eastAsia="宋体" w:hAnsi="Arial"/>
          <w:color w:val="auto"/>
          <w:sz w:val="21"/>
          <w:szCs w:val="21"/>
        </w:rPr>
        <w:t>个工作日内将授权通知原件送交基金托管人。</w:t>
      </w:r>
    </w:p>
    <w:p w14:paraId="42DF8AA2"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3</w:t>
      </w:r>
      <w:r>
        <w:rPr>
          <w:rFonts w:ascii="Arial" w:eastAsia="宋体" w:hAnsi="Arial"/>
          <w:color w:val="auto"/>
          <w:sz w:val="21"/>
          <w:szCs w:val="21"/>
        </w:rPr>
        <w:t>、基金管理人和基金托管人对授权通知及其更改负有保密义务，其内容不得向指令发送人员及相关操作人员以外的任何人披露、泄露，但法律法规规定或有权机关或审计机构要求的除外。</w:t>
      </w:r>
    </w:p>
    <w:p w14:paraId="14D6465D"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（二）指令的内容</w:t>
      </w:r>
    </w:p>
    <w:p w14:paraId="7B562BA2"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指令是基金管理人在运作基金财产时，向基金托管人发出的资金划拨及投资指令。相关登记结算公司向基金托管人发送的结算通知视为基金管理人向基金托管人发出的指令。</w:t>
      </w:r>
    </w:p>
    <w:p w14:paraId="33D4DB7D"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（三）指令的发送、确认和执行</w:t>
      </w:r>
    </w:p>
    <w:p w14:paraId="07F52B25" w14:textId="572C8F2D"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、指令由</w:t>
      </w:r>
      <w:r>
        <w:rPr>
          <w:rFonts w:ascii="Arial" w:eastAsia="宋体" w:hAnsi="Arial"/>
          <w:color w:val="auto"/>
          <w:sz w:val="21"/>
          <w:szCs w:val="21"/>
        </w:rPr>
        <w:t>“</w:t>
      </w:r>
      <w:r>
        <w:rPr>
          <w:rFonts w:ascii="Arial" w:eastAsia="宋体" w:hAnsi="Arial"/>
          <w:color w:val="auto"/>
          <w:sz w:val="21"/>
          <w:szCs w:val="21"/>
        </w:rPr>
        <w:t>授权通知</w:t>
      </w:r>
      <w:r>
        <w:rPr>
          <w:rFonts w:ascii="Arial" w:eastAsia="宋体" w:hAnsi="Arial"/>
          <w:color w:val="auto"/>
          <w:sz w:val="21"/>
          <w:szCs w:val="21"/>
        </w:rPr>
        <w:t>”</w:t>
      </w:r>
      <w:r>
        <w:rPr>
          <w:rFonts w:ascii="Arial" w:eastAsia="宋体" w:hAnsi="Arial"/>
          <w:color w:val="auto"/>
          <w:sz w:val="21"/>
          <w:szCs w:val="21"/>
        </w:rPr>
        <w:t>确定的指令发送人员代表基金管理人用传真的方式或其他双方确认的方式向基金托管人发送。对于指令发送人员</w:t>
      </w:r>
      <w:r>
        <w:rPr>
          <w:rFonts w:ascii="Arial" w:eastAsia="宋体" w:hAnsi="Arial" w:hint="eastAsia"/>
          <w:color w:val="auto"/>
          <w:sz w:val="21"/>
          <w:szCs w:val="21"/>
        </w:rPr>
        <w:t>在其授权范围内</w:t>
      </w:r>
      <w:r>
        <w:rPr>
          <w:rFonts w:ascii="Arial" w:eastAsia="宋体" w:hAnsi="Arial"/>
          <w:color w:val="auto"/>
          <w:sz w:val="21"/>
          <w:szCs w:val="21"/>
        </w:rPr>
        <w:t>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14:paraId="6384F106" w14:textId="366F6499" w:rsidR="008247B4" w:rsidRDefault="00CA50F3" w:rsidP="00811EEE">
      <w:pPr>
        <w:pStyle w:val="1f"/>
        <w:spacing w:before="100" w:beforeAutospacing="1" w:after="100" w:afterAutospacing="1"/>
        <w:ind w:firstLine="403"/>
        <w:rPr>
          <w:rFonts w:ascii="宋体"/>
          <w:sz w:val="22"/>
        </w:rPr>
      </w:pPr>
      <w:r w:rsidRPr="00811EEE">
        <w:rPr>
          <w:rFonts w:ascii="Arial" w:eastAsia="宋体" w:hAnsi="Arial"/>
          <w:color w:val="auto"/>
          <w:sz w:val="21"/>
          <w:szCs w:val="21"/>
        </w:rPr>
        <w:t>2</w:t>
      </w:r>
      <w:r w:rsidRPr="00811EEE">
        <w:rPr>
          <w:rFonts w:ascii="Arial" w:eastAsia="宋体" w:hAnsi="Arial" w:hint="eastAsia"/>
          <w:color w:val="auto"/>
          <w:sz w:val="21"/>
          <w:szCs w:val="21"/>
        </w:rPr>
        <w:t>、基金管理人应按照《基金法》、《运作办法》、《基金合同》和有关法律法规的规定，在其合法的经营权限和交易权限内，并依据相关业务规则发送指令。指令发出后，基金管理人应及时通过电话或其他双方认可的方式通知基金托管人，基金管理人应确保基金</w:t>
      </w:r>
      <w:r w:rsidRPr="00811EEE">
        <w:rPr>
          <w:rFonts w:ascii="Arial" w:eastAsia="宋体" w:hAnsi="Arial" w:hint="eastAsia"/>
          <w:color w:val="auto"/>
          <w:sz w:val="21"/>
          <w:szCs w:val="21"/>
        </w:rPr>
        <w:lastRenderedPageBreak/>
        <w:t>托管人收到指令。</w:t>
      </w:r>
      <w:r w:rsidRPr="00811EEE">
        <w:rPr>
          <w:rFonts w:ascii="Arial" w:eastAsia="宋体" w:hAnsi="Arial"/>
          <w:color w:val="auto"/>
          <w:sz w:val="21"/>
          <w:szCs w:val="21"/>
        </w:rPr>
        <w:t> </w:t>
      </w:r>
      <w:r>
        <w:rPr>
          <w:rFonts w:ascii="宋体" w:cs="宋体"/>
          <w:sz w:val="21"/>
        </w:rPr>
        <w:t> </w:t>
      </w:r>
    </w:p>
    <w:p w14:paraId="7E1F5110" w14:textId="62022A29"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3</w:t>
      </w:r>
      <w:r>
        <w:rPr>
          <w:rFonts w:ascii="Arial" w:eastAsia="宋体" w:hAnsi="Arial"/>
          <w:color w:val="auto"/>
          <w:sz w:val="21"/>
          <w:szCs w:val="21"/>
        </w:rPr>
        <w:t>、基金托管人在接收纸质指令时，应对指令的要素是否齐全、印鉴是否与授权通知内容相符等进行表面真实性的检查，对合法合</w:t>
      </w:r>
      <w:proofErr w:type="gramStart"/>
      <w:r>
        <w:rPr>
          <w:rFonts w:ascii="Arial" w:eastAsia="宋体" w:hAnsi="Arial"/>
          <w:color w:val="auto"/>
          <w:sz w:val="21"/>
          <w:szCs w:val="21"/>
        </w:rPr>
        <w:t>规</w:t>
      </w:r>
      <w:proofErr w:type="gramEnd"/>
      <w:r>
        <w:rPr>
          <w:rFonts w:ascii="Arial" w:eastAsia="宋体" w:hAnsi="Arial"/>
          <w:color w:val="auto"/>
          <w:sz w:val="21"/>
          <w:szCs w:val="21"/>
        </w:rPr>
        <w:t>的指令，基金托管人应在规定期限内执行，不得不合理延误或拒绝执行。</w:t>
      </w:r>
    </w:p>
    <w:p w14:paraId="1275C382" w14:textId="42C75FB5"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4</w:t>
      </w:r>
      <w:r>
        <w:rPr>
          <w:rFonts w:ascii="Arial" w:eastAsia="宋体" w:hAnsi="Arial"/>
          <w:color w:val="auto"/>
          <w:sz w:val="21"/>
          <w:szCs w:val="21"/>
        </w:rPr>
        <w:t>、</w:t>
      </w:r>
      <w:r>
        <w:rPr>
          <w:rFonts w:ascii="Arial" w:eastAsia="宋体" w:hAnsi="Arial" w:hint="eastAsia"/>
          <w:color w:val="auto"/>
          <w:sz w:val="21"/>
          <w:szCs w:val="21"/>
        </w:rPr>
        <w:t>对于银行间业务，</w:t>
      </w:r>
      <w:r w:rsidR="001111D0" w:rsidRPr="001111D0">
        <w:rPr>
          <w:rFonts w:ascii="Arial" w:eastAsia="宋体" w:hAnsi="Arial" w:hint="eastAsia"/>
          <w:color w:val="auto"/>
          <w:sz w:val="21"/>
          <w:szCs w:val="21"/>
        </w:rPr>
        <w:t>如需发送银行间成交单的，基金管理人应在交易结束后将银行间同业市场债券交易成交单经有权人员签字并加盖印章后及时发送给基金托管人。如不需采用</w:t>
      </w:r>
      <w:r w:rsidR="001111D0">
        <w:rPr>
          <w:rFonts w:ascii="Arial" w:eastAsia="宋体" w:hAnsi="Arial" w:hint="eastAsia"/>
          <w:color w:val="auto"/>
          <w:sz w:val="21"/>
          <w:szCs w:val="21"/>
        </w:rPr>
        <w:t>发送交易成交单的形式，基金管理人应对基金托管人进行书面授权确认</w:t>
      </w:r>
      <w:r>
        <w:rPr>
          <w:rFonts w:ascii="Arial" w:eastAsia="宋体" w:hAnsi="Arial" w:hint="eastAsia"/>
          <w:color w:val="auto"/>
          <w:sz w:val="21"/>
          <w:szCs w:val="21"/>
        </w:rPr>
        <w:t>。如果银行间簿记系统已经生成的交易需要取消或终止，基金管理人需书面通知基金托管人。</w:t>
      </w:r>
    </w:p>
    <w:p w14:paraId="4ADA0CE5"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5</w:t>
      </w:r>
      <w:r>
        <w:rPr>
          <w:rFonts w:ascii="Arial" w:eastAsia="宋体" w:hAnsi="Arial" w:hint="eastAsia"/>
          <w:color w:val="auto"/>
          <w:sz w:val="21"/>
          <w:szCs w:val="21"/>
        </w:rPr>
        <w:t>、</w:t>
      </w:r>
      <w:r>
        <w:rPr>
          <w:rFonts w:ascii="Arial" w:eastAsia="宋体" w:hAnsi="Arial"/>
          <w:color w:val="auto"/>
          <w:sz w:val="21"/>
          <w:szCs w:val="21"/>
        </w:rPr>
        <w:t>基金管理人在发送指令时，应为基金托管人执行指令留出执行指令时所必需的时间。</w:t>
      </w:r>
      <w:bookmarkStart w:id="21" w:name="OLE_LINK2"/>
      <w:bookmarkStart w:id="22" w:name="OLE_LINK1"/>
      <w:r>
        <w:rPr>
          <w:rFonts w:ascii="Arial" w:eastAsia="宋体" w:hAnsi="Arial" w:hint="eastAsia"/>
          <w:color w:val="auto"/>
          <w:sz w:val="21"/>
          <w:szCs w:val="21"/>
        </w:rPr>
        <w:t>因基金管理</w:t>
      </w:r>
      <w:proofErr w:type="gramStart"/>
      <w:r>
        <w:rPr>
          <w:rFonts w:ascii="Arial" w:eastAsia="宋体" w:hAnsi="Arial" w:hint="eastAsia"/>
          <w:color w:val="auto"/>
          <w:sz w:val="21"/>
          <w:szCs w:val="21"/>
        </w:rPr>
        <w:t>人原因</w:t>
      </w:r>
      <w:proofErr w:type="gramEnd"/>
      <w:r>
        <w:rPr>
          <w:rFonts w:ascii="Arial" w:eastAsia="宋体" w:hAnsi="Arial" w:hint="eastAsia"/>
          <w:color w:val="auto"/>
          <w:sz w:val="21"/>
          <w:szCs w:val="21"/>
        </w:rPr>
        <w:t>导致</w:t>
      </w:r>
      <w:r>
        <w:rPr>
          <w:rFonts w:ascii="Arial" w:eastAsia="宋体" w:hAnsi="Arial"/>
          <w:color w:val="auto"/>
          <w:sz w:val="21"/>
          <w:szCs w:val="21"/>
        </w:rPr>
        <w:t>指令传输不及时未能留出足够的执行时间，致使指令未能及时执行所造成的损失由基金管理人承担。</w:t>
      </w:r>
      <w:bookmarkEnd w:id="21"/>
      <w:bookmarkEnd w:id="22"/>
    </w:p>
    <w:p w14:paraId="2A2D8FA6"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（四）基金管理人发送错误指令的情形和处理程序</w:t>
      </w:r>
    </w:p>
    <w:p w14:paraId="30ECA0B5"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基金管理人发送错误指令的情形主要包括：指令要素错误、无投资行为的指令、预留印鉴错误等情形。</w:t>
      </w:r>
    </w:p>
    <w:p w14:paraId="00DE0B96" w14:textId="37B03D6D"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基金托管人发现基金管理人的指令错误时，</w:t>
      </w:r>
      <w:r>
        <w:rPr>
          <w:rFonts w:ascii="Arial" w:eastAsia="宋体" w:hAnsi="Arial" w:hint="eastAsia"/>
          <w:color w:val="auto"/>
          <w:sz w:val="21"/>
          <w:szCs w:val="21"/>
        </w:rPr>
        <w:t>应当</w:t>
      </w:r>
      <w:r>
        <w:rPr>
          <w:rFonts w:ascii="Arial" w:eastAsia="宋体" w:hAnsi="Arial"/>
          <w:color w:val="auto"/>
          <w:sz w:val="21"/>
          <w:szCs w:val="21"/>
        </w:rPr>
        <w:t>拒绝执行，并及时通知基金管理人改正。对基金管理人更正并重新发送后的指令经基金托管人核对确认后方能执行。</w:t>
      </w:r>
    </w:p>
    <w:p w14:paraId="616F2613"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（五）基金托管人依照法律法规暂缓、拒绝执行指令的情形和处理程序</w:t>
      </w:r>
    </w:p>
    <w:p w14:paraId="001483AB"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基金托管人发现基金管理人的指令违反法律法规规定或者《基金合同》约定，应当视情况暂缓或不予执行，并及时通知基金管理人要求其变更或撤销相关指令，</w:t>
      </w:r>
      <w:proofErr w:type="gramStart"/>
      <w:r>
        <w:rPr>
          <w:rFonts w:ascii="Arial" w:eastAsia="宋体" w:hAnsi="Arial"/>
          <w:color w:val="auto"/>
          <w:sz w:val="21"/>
          <w:szCs w:val="21"/>
        </w:rPr>
        <w:t>若基金</w:t>
      </w:r>
      <w:proofErr w:type="gramEnd"/>
      <w:r>
        <w:rPr>
          <w:rFonts w:ascii="Arial" w:eastAsia="宋体" w:hAnsi="Arial"/>
          <w:color w:val="auto"/>
          <w:sz w:val="21"/>
          <w:szCs w:val="21"/>
        </w:rPr>
        <w:t>管理人在基金托管人发出上述通知后仍未变更或撤销相关指令，基金托管人应当拒绝执行，并向中国证监会报告。</w:t>
      </w:r>
    </w:p>
    <w:p w14:paraId="2E0BF11E"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应确保基金托管人在执行指令时，基金的银行存款账户有足够的资金余额，确保基金的证券账户有足够的证券余额。对超头寸的指令，以及超过证券账户证券余额的指令，基金托管人可不予执行，但应及时通知基金管理人，由此造成的损失，由基金管理人承担（不可抗力或基金管理人无法控制的因素造成的除外）。《基金合同》另有约定或有关法律法规另有规定的除外。</w:t>
      </w:r>
    </w:p>
    <w:p w14:paraId="1B2DD602"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（六）基金托管人未按照基金管理人指令执行的处理方法</w:t>
      </w:r>
    </w:p>
    <w:p w14:paraId="4877BE21" w14:textId="30D9B7CB"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lastRenderedPageBreak/>
        <w:t>基金托管人因未正确</w:t>
      </w:r>
      <w:r>
        <w:rPr>
          <w:rFonts w:ascii="Arial" w:eastAsia="宋体" w:hAnsi="Arial" w:hint="eastAsia"/>
          <w:color w:val="auto"/>
          <w:sz w:val="21"/>
          <w:szCs w:val="21"/>
        </w:rPr>
        <w:t>或未及时</w:t>
      </w:r>
      <w:r>
        <w:rPr>
          <w:rFonts w:ascii="Arial" w:eastAsia="宋体" w:hAnsi="Arial"/>
          <w:color w:val="auto"/>
          <w:sz w:val="21"/>
          <w:szCs w:val="21"/>
        </w:rPr>
        <w:t>执行基金管理人合法合</w:t>
      </w:r>
      <w:proofErr w:type="gramStart"/>
      <w:r>
        <w:rPr>
          <w:rFonts w:ascii="Arial" w:eastAsia="宋体" w:hAnsi="Arial"/>
          <w:color w:val="auto"/>
          <w:sz w:val="21"/>
          <w:szCs w:val="21"/>
        </w:rPr>
        <w:t>规</w:t>
      </w:r>
      <w:proofErr w:type="gramEnd"/>
      <w:r>
        <w:rPr>
          <w:rFonts w:ascii="Arial" w:eastAsia="宋体" w:hAnsi="Arial"/>
          <w:color w:val="auto"/>
          <w:sz w:val="21"/>
          <w:szCs w:val="21"/>
        </w:rPr>
        <w:t>的指令，致使本基金的利益受到损害，基金托管人应</w:t>
      </w:r>
      <w:r w:rsidR="004A423B" w:rsidRPr="004A423B">
        <w:rPr>
          <w:rFonts w:ascii="Arial" w:eastAsia="宋体" w:hAnsi="Arial" w:hint="eastAsia"/>
          <w:color w:val="auto"/>
          <w:sz w:val="21"/>
          <w:szCs w:val="21"/>
        </w:rPr>
        <w:t>在发现后及时采取措施予以补救，并</w:t>
      </w:r>
      <w:r>
        <w:rPr>
          <w:rFonts w:ascii="Arial" w:eastAsia="宋体" w:hAnsi="Arial"/>
          <w:color w:val="auto"/>
          <w:sz w:val="21"/>
          <w:szCs w:val="21"/>
        </w:rPr>
        <w:t>承担相应的责任。除此之外，基金托管人对执行基金管理人的合法合</w:t>
      </w:r>
      <w:proofErr w:type="gramStart"/>
      <w:r>
        <w:rPr>
          <w:rFonts w:ascii="Arial" w:eastAsia="宋体" w:hAnsi="Arial"/>
          <w:color w:val="auto"/>
          <w:sz w:val="21"/>
          <w:szCs w:val="21"/>
        </w:rPr>
        <w:t>规</w:t>
      </w:r>
      <w:proofErr w:type="gramEnd"/>
      <w:r>
        <w:rPr>
          <w:rFonts w:ascii="Arial" w:eastAsia="宋体" w:hAnsi="Arial" w:hint="eastAsia"/>
          <w:color w:val="auto"/>
          <w:sz w:val="21"/>
          <w:szCs w:val="21"/>
        </w:rPr>
        <w:t>、符合基金合同及本托管协议的</w:t>
      </w:r>
      <w:r>
        <w:rPr>
          <w:rFonts w:ascii="Arial" w:eastAsia="宋体" w:hAnsi="Arial"/>
          <w:color w:val="auto"/>
          <w:sz w:val="21"/>
          <w:szCs w:val="21"/>
        </w:rPr>
        <w:t>指令对基金造成的损失不承担</w:t>
      </w:r>
      <w:r>
        <w:rPr>
          <w:rFonts w:ascii="Arial" w:eastAsia="宋体" w:hAnsi="Arial" w:hint="eastAsia"/>
          <w:color w:val="auto"/>
          <w:sz w:val="21"/>
          <w:szCs w:val="21"/>
        </w:rPr>
        <w:t>相应</w:t>
      </w:r>
      <w:r>
        <w:rPr>
          <w:rFonts w:ascii="Arial" w:eastAsia="宋体" w:hAnsi="Arial"/>
          <w:color w:val="auto"/>
          <w:sz w:val="21"/>
          <w:szCs w:val="21"/>
        </w:rPr>
        <w:t>责任。</w:t>
      </w:r>
    </w:p>
    <w:p w14:paraId="34C5C2B1"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（七）被授权人员及授权权限的变更</w:t>
      </w:r>
      <w:r>
        <w:rPr>
          <w:rFonts w:ascii="Arial" w:eastAsia="宋体" w:hAnsi="Arial"/>
          <w:color w:val="auto"/>
          <w:sz w:val="21"/>
          <w:szCs w:val="21"/>
        </w:rPr>
        <w:tab/>
      </w:r>
    </w:p>
    <w:p w14:paraId="21CADDD0" w14:textId="0C936A9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基金管理人若对授权通知的内容进行修改（包括但不限于指令发送人员的名单的修改，及</w:t>
      </w:r>
      <w:r>
        <w:rPr>
          <w:rFonts w:ascii="Arial" w:eastAsia="宋体" w:hAnsi="Arial"/>
          <w:color w:val="auto"/>
          <w:sz w:val="21"/>
          <w:szCs w:val="21"/>
        </w:rPr>
        <w:t>/</w:t>
      </w:r>
      <w:r>
        <w:rPr>
          <w:rFonts w:ascii="Arial" w:eastAsia="宋体" w:hAnsi="Arial"/>
          <w:color w:val="auto"/>
          <w:sz w:val="21"/>
          <w:szCs w:val="21"/>
        </w:rPr>
        <w:t>或权限的修改），应当至少提前</w:t>
      </w:r>
      <w:r>
        <w:rPr>
          <w:rFonts w:ascii="Arial" w:eastAsia="宋体" w:hAnsi="Arial"/>
          <w:color w:val="auto"/>
          <w:sz w:val="21"/>
          <w:szCs w:val="21"/>
        </w:rPr>
        <w:t>1</w:t>
      </w:r>
      <w:r>
        <w:rPr>
          <w:rFonts w:ascii="Arial" w:eastAsia="宋体" w:hAnsi="Arial"/>
          <w:color w:val="auto"/>
          <w:sz w:val="21"/>
          <w:szCs w:val="21"/>
        </w:rPr>
        <w:t>个工作日通知基金托管人；修改授权通知的文件应由基金管理人加盖公章</w:t>
      </w:r>
      <w:r>
        <w:rPr>
          <w:rFonts w:ascii="Arial" w:eastAsia="宋体" w:hAnsi="Arial" w:hint="eastAsia"/>
          <w:color w:val="auto"/>
          <w:sz w:val="21"/>
          <w:szCs w:val="21"/>
        </w:rPr>
        <w:t>并由法定代表人或其授权代表签署，若由授权代表签署，还应附上法定代表人的授权书</w:t>
      </w:r>
      <w:r>
        <w:rPr>
          <w:rFonts w:ascii="Arial" w:eastAsia="宋体" w:hAnsi="Arial"/>
          <w:color w:val="auto"/>
          <w:sz w:val="21"/>
          <w:szCs w:val="21"/>
        </w:rPr>
        <w:t>。基金管理人对授权通知的修改应当以加密传真的形式</w:t>
      </w:r>
      <w:r>
        <w:rPr>
          <w:rFonts w:ascii="Arial" w:eastAsia="宋体" w:hAnsi="Arial" w:hint="eastAsia"/>
          <w:color w:val="auto"/>
          <w:sz w:val="21"/>
          <w:szCs w:val="21"/>
        </w:rPr>
        <w:t>或其他双方约定的形式</w:t>
      </w:r>
      <w:r>
        <w:rPr>
          <w:rFonts w:ascii="Arial" w:eastAsia="宋体" w:hAnsi="Arial"/>
          <w:color w:val="auto"/>
          <w:sz w:val="21"/>
          <w:szCs w:val="21"/>
        </w:rPr>
        <w:t>发送给基金托管人，同时电话通知基金托管人。基金管理人对授权通知的内容的</w:t>
      </w:r>
      <w:proofErr w:type="gramStart"/>
      <w:r>
        <w:rPr>
          <w:rFonts w:ascii="Arial" w:eastAsia="宋体" w:hAnsi="Arial"/>
          <w:color w:val="auto"/>
          <w:sz w:val="21"/>
          <w:szCs w:val="21"/>
        </w:rPr>
        <w:t>修改自</w:t>
      </w:r>
      <w:proofErr w:type="gramEnd"/>
      <w:r>
        <w:rPr>
          <w:rFonts w:ascii="Arial" w:eastAsia="宋体" w:hAnsi="Arial"/>
          <w:color w:val="auto"/>
          <w:sz w:val="21"/>
          <w:szCs w:val="21"/>
        </w:rPr>
        <w:t>基金托管人电话确认后于通知载明的生效时间起生效。通知载明的生效时间不得早于电话确认时间。基金管理人在此后</w:t>
      </w:r>
      <w:r>
        <w:rPr>
          <w:rFonts w:ascii="Arial" w:eastAsia="宋体" w:hAnsi="Arial"/>
          <w:color w:val="auto"/>
          <w:sz w:val="21"/>
          <w:szCs w:val="21"/>
        </w:rPr>
        <w:t>3</w:t>
      </w:r>
      <w:r>
        <w:rPr>
          <w:rFonts w:ascii="Arial" w:eastAsia="宋体" w:hAnsi="Arial"/>
          <w:color w:val="auto"/>
          <w:sz w:val="21"/>
          <w:szCs w:val="21"/>
        </w:rPr>
        <w:t>个工作日内将对授权通知修改的文件原件送交基金托管人。基金管理人更换被授权人通知生效后，对于已被撤换的人员无权发送的指令，或被改变授权人员超权限发送的指令，基金管理人在不存在过错的情况下不承担责任。</w:t>
      </w:r>
    </w:p>
    <w:p w14:paraId="7EAC4269" w14:textId="77777777" w:rsidR="008247B4" w:rsidRDefault="008247B4">
      <w:pPr>
        <w:pStyle w:val="1f"/>
        <w:spacing w:before="100" w:beforeAutospacing="1" w:after="100" w:afterAutospacing="1"/>
        <w:ind w:firstLine="403"/>
        <w:rPr>
          <w:rFonts w:ascii="Arial" w:eastAsia="宋体" w:hAnsi="Arial"/>
          <w:color w:val="auto"/>
          <w:sz w:val="21"/>
          <w:szCs w:val="21"/>
        </w:rPr>
      </w:pPr>
    </w:p>
    <w:p w14:paraId="317CABC8" w14:textId="77777777" w:rsidR="008247B4" w:rsidRDefault="00CA50F3">
      <w:pPr>
        <w:pStyle w:val="116"/>
        <w:spacing w:before="100" w:beforeAutospacing="1" w:after="100" w:afterAutospacing="1" w:line="400" w:lineRule="exact"/>
        <w:ind w:firstLine="422"/>
        <w:rPr>
          <w:rFonts w:ascii="Arial" w:hAnsi="Arial"/>
          <w:sz w:val="21"/>
          <w:szCs w:val="21"/>
        </w:rPr>
      </w:pPr>
      <w:bookmarkStart w:id="23" w:name="_Toc116900101"/>
      <w:bookmarkStart w:id="24" w:name="_Toc202171868"/>
      <w:r>
        <w:rPr>
          <w:rFonts w:ascii="Arial" w:hAnsi="Arial"/>
          <w:sz w:val="21"/>
          <w:szCs w:val="21"/>
        </w:rPr>
        <w:t>七、交易及清算交收安排</w:t>
      </w:r>
      <w:bookmarkEnd w:id="23"/>
      <w:bookmarkEnd w:id="24"/>
    </w:p>
    <w:p w14:paraId="16D6F864" w14:textId="77777777" w:rsidR="008247B4" w:rsidRDefault="00CA50F3">
      <w:pPr>
        <w:pStyle w:val="317"/>
        <w:spacing w:before="100" w:beforeAutospacing="1" w:after="100" w:afterAutospacing="1" w:line="400" w:lineRule="exact"/>
        <w:ind w:left="0" w:firstLine="403"/>
        <w:rPr>
          <w:rFonts w:ascii="Arial" w:eastAsia="宋体" w:hAnsi="Arial"/>
          <w:b/>
          <w:sz w:val="21"/>
          <w:szCs w:val="21"/>
        </w:rPr>
      </w:pPr>
      <w:r>
        <w:rPr>
          <w:rFonts w:ascii="Arial" w:eastAsia="宋体" w:hAnsi="Arial"/>
          <w:sz w:val="21"/>
          <w:szCs w:val="21"/>
        </w:rPr>
        <w:t>（一）基金管理人负责选择代理本基金证券、期货买卖的证券、期货经营机构</w:t>
      </w:r>
    </w:p>
    <w:p w14:paraId="77EC973F" w14:textId="77777777" w:rsidR="00871D16" w:rsidRDefault="00CA50F3" w:rsidP="00871D16">
      <w:pPr>
        <w:pStyle w:val="afe"/>
        <w:spacing w:before="100" w:beforeAutospacing="1" w:after="100" w:afterAutospacing="1"/>
        <w:ind w:firstLine="403"/>
        <w:rPr>
          <w:rFonts w:ascii="宋体" w:eastAsia="宋体"/>
          <w:color w:val="auto"/>
          <w:sz w:val="21"/>
          <w:szCs w:val="21"/>
        </w:rPr>
      </w:pPr>
      <w:r>
        <w:rPr>
          <w:rFonts w:ascii="Arial" w:eastAsia="宋体" w:hAnsi="Arial"/>
          <w:color w:val="auto"/>
          <w:sz w:val="21"/>
          <w:szCs w:val="21"/>
        </w:rPr>
        <w:t>1</w:t>
      </w:r>
      <w:r>
        <w:rPr>
          <w:rFonts w:ascii="Arial" w:eastAsia="宋体" w:hAnsi="Arial"/>
          <w:color w:val="auto"/>
          <w:sz w:val="21"/>
          <w:szCs w:val="21"/>
        </w:rPr>
        <w:t>、</w:t>
      </w:r>
      <w:r w:rsidR="00871D16">
        <w:rPr>
          <w:rFonts w:ascii="宋体" w:eastAsia="宋体" w:hint="eastAsia"/>
          <w:color w:val="auto"/>
          <w:sz w:val="21"/>
          <w:szCs w:val="21"/>
        </w:rPr>
        <w:t>选择代理证券买卖的证券经纪机构的程序</w:t>
      </w:r>
    </w:p>
    <w:p w14:paraId="3B606C30" w14:textId="58E3F68B" w:rsidR="0033703A" w:rsidRDefault="00871D16" w:rsidP="008E6136">
      <w:pPr>
        <w:pStyle w:val="1f"/>
        <w:spacing w:before="100" w:beforeAutospacing="1" w:after="100" w:afterAutospacing="1"/>
        <w:ind w:firstLine="403"/>
        <w:rPr>
          <w:rFonts w:ascii="Arial" w:eastAsia="宋体" w:hAnsi="Arial"/>
          <w:color w:val="auto"/>
          <w:sz w:val="21"/>
          <w:szCs w:val="21"/>
        </w:rPr>
      </w:pPr>
      <w:r w:rsidRPr="00884CBE">
        <w:rPr>
          <w:rFonts w:ascii="Arial" w:eastAsia="宋体" w:hAnsi="Arial" w:hint="eastAsia"/>
          <w:color w:val="auto"/>
          <w:sz w:val="21"/>
          <w:szCs w:val="21"/>
        </w:rPr>
        <w:t>基金管理人</w:t>
      </w:r>
      <w:r w:rsidR="00D54890" w:rsidRPr="00884CBE">
        <w:rPr>
          <w:rFonts w:ascii="Arial" w:eastAsia="宋体" w:hAnsi="Arial" w:hint="eastAsia"/>
          <w:color w:val="auto"/>
          <w:sz w:val="21"/>
          <w:szCs w:val="21"/>
        </w:rPr>
        <w:t>负责</w:t>
      </w:r>
      <w:r w:rsidRPr="0049207F">
        <w:rPr>
          <w:rFonts w:ascii="Arial" w:eastAsia="宋体" w:hAnsi="Arial" w:hint="eastAsia"/>
          <w:color w:val="auto"/>
          <w:sz w:val="21"/>
          <w:szCs w:val="21"/>
        </w:rPr>
        <w:t>证券经纪机构的选择。基金管理人、基金托管人和</w:t>
      </w:r>
      <w:r w:rsidR="0049207F">
        <w:rPr>
          <w:rFonts w:ascii="Arial" w:eastAsia="宋体" w:hAnsi="Arial" w:hint="eastAsia"/>
          <w:color w:val="auto"/>
          <w:sz w:val="21"/>
          <w:szCs w:val="21"/>
        </w:rPr>
        <w:t>被选择的</w:t>
      </w:r>
      <w:r w:rsidRPr="0049207F">
        <w:rPr>
          <w:rFonts w:ascii="Arial" w:eastAsia="宋体" w:hAnsi="Arial" w:hint="eastAsia"/>
          <w:color w:val="auto"/>
          <w:sz w:val="21"/>
          <w:szCs w:val="21"/>
        </w:rPr>
        <w:t>证券经纪</w:t>
      </w:r>
      <w:r w:rsidR="0049207F">
        <w:rPr>
          <w:rFonts w:ascii="Arial" w:eastAsia="宋体" w:hAnsi="Arial" w:hint="eastAsia"/>
          <w:color w:val="auto"/>
          <w:sz w:val="21"/>
          <w:szCs w:val="21"/>
        </w:rPr>
        <w:t>商签订本基金的证券经纪服务协议，</w:t>
      </w:r>
      <w:r w:rsidR="0049207F" w:rsidRPr="0049207F">
        <w:rPr>
          <w:rFonts w:ascii="Arial" w:eastAsia="宋体" w:hAnsi="Arial" w:hint="eastAsia"/>
          <w:color w:val="auto"/>
          <w:sz w:val="21"/>
          <w:szCs w:val="21"/>
        </w:rPr>
        <w:t>并可就本基金参与证券交易的具体事项另行签订协议。</w:t>
      </w:r>
      <w:r w:rsidR="007C5DFE" w:rsidRPr="0049207F" w:rsidDel="007C5DFE">
        <w:rPr>
          <w:rFonts w:ascii="Arial" w:eastAsia="宋体" w:hAnsi="Arial" w:hint="eastAsia"/>
          <w:color w:val="auto"/>
          <w:sz w:val="21"/>
          <w:szCs w:val="21"/>
        </w:rPr>
        <w:t xml:space="preserve"> </w:t>
      </w:r>
    </w:p>
    <w:p w14:paraId="6424FDBC" w14:textId="27246C6D" w:rsidR="008247B4" w:rsidRDefault="00871D16" w:rsidP="008E6136">
      <w:pPr>
        <w:pStyle w:val="1f"/>
        <w:spacing w:before="100" w:beforeAutospacing="1" w:after="100" w:afterAutospacing="1"/>
        <w:ind w:firstLine="403"/>
        <w:rPr>
          <w:rFonts w:ascii="Arial" w:eastAsia="宋体" w:hAnsi="Arial"/>
          <w:color w:val="auto"/>
          <w:sz w:val="21"/>
          <w:szCs w:val="21"/>
        </w:rPr>
      </w:pPr>
      <w:r w:rsidRPr="00871D16">
        <w:rPr>
          <w:rFonts w:ascii="Arial" w:eastAsia="宋体" w:hAnsi="Arial" w:hint="eastAsia"/>
          <w:color w:val="auto"/>
          <w:sz w:val="21"/>
          <w:szCs w:val="21"/>
        </w:rPr>
        <w:t>基金管理人应及时将基金佣金费率等基本信息以及变更情况及时以书面形式通知基金托管人，并在法定信息披露公告中披露相关内容。</w:t>
      </w:r>
    </w:p>
    <w:p w14:paraId="021CFD7D" w14:textId="1E6C1E65" w:rsidR="00871D16" w:rsidRDefault="008E6136">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2</w:t>
      </w:r>
      <w:r w:rsidR="00CA50F3">
        <w:rPr>
          <w:rFonts w:ascii="Arial" w:eastAsia="宋体" w:hAnsi="Arial"/>
          <w:color w:val="auto"/>
          <w:sz w:val="21"/>
          <w:szCs w:val="21"/>
        </w:rPr>
        <w:t>、</w:t>
      </w:r>
      <w:r w:rsidR="00871D16" w:rsidRPr="00871D16">
        <w:rPr>
          <w:rFonts w:ascii="Arial" w:eastAsia="宋体" w:hAnsi="Arial" w:hint="eastAsia"/>
          <w:color w:val="auto"/>
          <w:sz w:val="21"/>
          <w:szCs w:val="21"/>
        </w:rPr>
        <w:t>选择代理期货买卖的期货经营机构</w:t>
      </w:r>
    </w:p>
    <w:p w14:paraId="7A26F653" w14:textId="1A787613"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基金管理人负责选择代理本基金期货交易的期货经纪机构，并与其签订期货</w:t>
      </w:r>
      <w:r w:rsidR="0049207F">
        <w:rPr>
          <w:rFonts w:ascii="Arial" w:eastAsia="宋体" w:hAnsi="Arial" w:hint="eastAsia"/>
          <w:color w:val="auto"/>
          <w:sz w:val="21"/>
          <w:szCs w:val="21"/>
        </w:rPr>
        <w:t>交易结算服务协议</w:t>
      </w:r>
      <w:r>
        <w:rPr>
          <w:rFonts w:ascii="Arial" w:eastAsia="宋体" w:hAnsi="Arial"/>
          <w:color w:val="auto"/>
          <w:sz w:val="21"/>
          <w:szCs w:val="21"/>
        </w:rPr>
        <w:t>，其他事宜根据法律法规、《基金合同》的相关规定执行，若无明确规定的，可参照有关证券买卖、证券经纪机构选择的规则执行。</w:t>
      </w:r>
    </w:p>
    <w:p w14:paraId="43C4D6F9" w14:textId="062C48F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lastRenderedPageBreak/>
        <w:t>（二）基金</w:t>
      </w:r>
      <w:r w:rsidR="003B2B80">
        <w:rPr>
          <w:rFonts w:ascii="Arial" w:eastAsia="宋体" w:hAnsi="Arial" w:hint="eastAsia"/>
          <w:color w:val="auto"/>
          <w:sz w:val="21"/>
          <w:szCs w:val="21"/>
        </w:rPr>
        <w:t>投资证券后的</w:t>
      </w:r>
      <w:r>
        <w:rPr>
          <w:rFonts w:ascii="Arial" w:eastAsia="宋体" w:hAnsi="Arial"/>
          <w:color w:val="auto"/>
          <w:sz w:val="21"/>
          <w:szCs w:val="21"/>
        </w:rPr>
        <w:t>清算交收</w:t>
      </w:r>
      <w:r w:rsidR="003B2B80">
        <w:rPr>
          <w:rFonts w:ascii="Arial" w:eastAsia="宋体" w:hAnsi="Arial" w:hint="eastAsia"/>
          <w:color w:val="auto"/>
          <w:sz w:val="21"/>
          <w:szCs w:val="21"/>
        </w:rPr>
        <w:t>安排</w:t>
      </w:r>
    </w:p>
    <w:p w14:paraId="29B97B30" w14:textId="3CC43DA9" w:rsidR="0049207F" w:rsidRDefault="00CA50F3" w:rsidP="00871D16">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w:t>
      </w:r>
      <w:r w:rsidR="0049207F">
        <w:rPr>
          <w:rFonts w:ascii="Arial" w:eastAsia="宋体" w:hAnsi="Arial" w:hint="eastAsia"/>
          <w:color w:val="auto"/>
          <w:sz w:val="21"/>
          <w:szCs w:val="21"/>
        </w:rPr>
        <w:t>证券交易所资金结算</w:t>
      </w:r>
    </w:p>
    <w:p w14:paraId="165F5E68" w14:textId="2458766D" w:rsidR="00871D16" w:rsidRPr="00871D16" w:rsidRDefault="00871D16" w:rsidP="00871D16">
      <w:pPr>
        <w:pStyle w:val="1f"/>
        <w:spacing w:before="100" w:beforeAutospacing="1" w:after="100" w:afterAutospacing="1"/>
        <w:ind w:firstLine="403"/>
        <w:rPr>
          <w:rFonts w:ascii="Arial" w:eastAsia="宋体" w:hAnsi="Arial"/>
          <w:color w:val="auto"/>
          <w:sz w:val="21"/>
          <w:szCs w:val="21"/>
        </w:rPr>
      </w:pPr>
      <w:r w:rsidRPr="00871D16">
        <w:rPr>
          <w:rFonts w:ascii="Arial" w:eastAsia="宋体" w:hAnsi="Arial" w:hint="eastAsia"/>
          <w:color w:val="auto"/>
          <w:sz w:val="21"/>
          <w:szCs w:val="21"/>
        </w:rPr>
        <w:t>本基金通过证券经纪</w:t>
      </w:r>
      <w:r w:rsidR="00344418">
        <w:rPr>
          <w:rFonts w:ascii="Arial" w:eastAsia="宋体" w:hAnsi="Arial" w:hint="eastAsia"/>
          <w:color w:val="auto"/>
          <w:sz w:val="21"/>
          <w:szCs w:val="21"/>
        </w:rPr>
        <w:t>商</w:t>
      </w:r>
      <w:r w:rsidRPr="00871D16">
        <w:rPr>
          <w:rFonts w:ascii="Arial" w:eastAsia="宋体" w:hAnsi="Arial" w:hint="eastAsia"/>
          <w:color w:val="auto"/>
          <w:sz w:val="21"/>
          <w:szCs w:val="21"/>
        </w:rPr>
        <w:t>进行的</w:t>
      </w:r>
      <w:r w:rsidR="00833671">
        <w:rPr>
          <w:rFonts w:ascii="Arial" w:eastAsia="宋体" w:hAnsi="Arial" w:hint="eastAsia"/>
          <w:color w:val="auto"/>
          <w:sz w:val="21"/>
          <w:szCs w:val="21"/>
        </w:rPr>
        <w:t>交易所场内</w:t>
      </w:r>
      <w:r w:rsidRPr="00871D16">
        <w:rPr>
          <w:rFonts w:ascii="Arial" w:eastAsia="宋体" w:hAnsi="Arial" w:hint="eastAsia"/>
          <w:color w:val="auto"/>
          <w:sz w:val="21"/>
          <w:szCs w:val="21"/>
        </w:rPr>
        <w:t>交易由证券经纪</w:t>
      </w:r>
      <w:r w:rsidR="00344418">
        <w:rPr>
          <w:rFonts w:ascii="Arial" w:eastAsia="宋体" w:hAnsi="Arial" w:hint="eastAsia"/>
          <w:color w:val="auto"/>
          <w:sz w:val="21"/>
          <w:szCs w:val="21"/>
        </w:rPr>
        <w:t>商</w:t>
      </w:r>
      <w:r w:rsidRPr="00871D16">
        <w:rPr>
          <w:rFonts w:ascii="Arial" w:eastAsia="宋体" w:hAnsi="Arial" w:hint="eastAsia"/>
          <w:color w:val="auto"/>
          <w:sz w:val="21"/>
          <w:szCs w:val="21"/>
        </w:rPr>
        <w:t>作为结算参与人代理本基金进行结算。</w:t>
      </w:r>
    </w:p>
    <w:p w14:paraId="60C3D378" w14:textId="64A96937" w:rsidR="007C5DFE" w:rsidRDefault="00871D16" w:rsidP="00871D16">
      <w:pPr>
        <w:pStyle w:val="1f"/>
        <w:spacing w:before="100" w:beforeAutospacing="1" w:after="100" w:afterAutospacing="1"/>
        <w:ind w:firstLine="403"/>
        <w:rPr>
          <w:rFonts w:ascii="Arial" w:eastAsia="宋体" w:hAnsi="Arial"/>
          <w:color w:val="auto"/>
          <w:sz w:val="21"/>
          <w:szCs w:val="21"/>
        </w:rPr>
      </w:pPr>
      <w:r w:rsidRPr="00871D16">
        <w:rPr>
          <w:rFonts w:ascii="Arial" w:eastAsia="宋体" w:hAnsi="Arial" w:hint="eastAsia"/>
          <w:color w:val="auto"/>
          <w:sz w:val="21"/>
          <w:szCs w:val="21"/>
        </w:rPr>
        <w:t>基金管理人、基金托管人以及被选择的证券经纪</w:t>
      </w:r>
      <w:r w:rsidR="007C5DFE">
        <w:rPr>
          <w:rFonts w:ascii="Arial" w:eastAsia="宋体" w:hAnsi="Arial" w:hint="eastAsia"/>
          <w:color w:val="auto"/>
          <w:sz w:val="21"/>
          <w:szCs w:val="21"/>
        </w:rPr>
        <w:t>商</w:t>
      </w:r>
      <w:r w:rsidRPr="00871D16">
        <w:rPr>
          <w:rFonts w:ascii="Arial" w:eastAsia="宋体" w:hAnsi="Arial" w:hint="eastAsia"/>
          <w:color w:val="auto"/>
          <w:sz w:val="21"/>
          <w:szCs w:val="21"/>
        </w:rPr>
        <w:t>应根据有关法律法规及相关业务规则，</w:t>
      </w:r>
      <w:r w:rsidRPr="00CD4EA8">
        <w:rPr>
          <w:rFonts w:ascii="Arial" w:eastAsia="宋体" w:hAnsi="Arial" w:hint="eastAsia"/>
          <w:color w:val="auto"/>
          <w:sz w:val="21"/>
          <w:szCs w:val="21"/>
        </w:rPr>
        <w:t>签订证券经纪服务协议，用以具体明确三方在证券交易资金结算业务中的责任。</w:t>
      </w:r>
    </w:p>
    <w:p w14:paraId="753754F3" w14:textId="22688D02" w:rsidR="007C5DFE" w:rsidRDefault="00871D16" w:rsidP="00871D16">
      <w:pPr>
        <w:pStyle w:val="1f"/>
        <w:spacing w:before="100" w:beforeAutospacing="1" w:after="100" w:afterAutospacing="1"/>
        <w:ind w:firstLine="403"/>
        <w:rPr>
          <w:rFonts w:ascii="Arial" w:eastAsia="宋体" w:hAnsi="Arial"/>
          <w:color w:val="auto"/>
          <w:sz w:val="21"/>
          <w:szCs w:val="21"/>
        </w:rPr>
      </w:pPr>
      <w:r w:rsidRPr="00871D16">
        <w:rPr>
          <w:rFonts w:ascii="Arial" w:eastAsia="宋体" w:hAnsi="Arial" w:hint="eastAsia"/>
          <w:color w:val="auto"/>
          <w:sz w:val="21"/>
          <w:szCs w:val="21"/>
        </w:rPr>
        <w:t>证券经纪</w:t>
      </w:r>
      <w:r w:rsidR="00344418">
        <w:rPr>
          <w:rFonts w:ascii="Arial" w:eastAsia="宋体" w:hAnsi="Arial" w:hint="eastAsia"/>
          <w:color w:val="auto"/>
          <w:sz w:val="21"/>
          <w:szCs w:val="21"/>
        </w:rPr>
        <w:t>商</w:t>
      </w:r>
      <w:r w:rsidRPr="00871D16">
        <w:rPr>
          <w:rFonts w:ascii="Arial" w:eastAsia="宋体" w:hAnsi="Arial" w:hint="eastAsia"/>
          <w:color w:val="auto"/>
          <w:sz w:val="21"/>
          <w:szCs w:val="21"/>
        </w:rPr>
        <w:t>代理本基金财产与</w:t>
      </w:r>
      <w:r w:rsidR="007C5DFE" w:rsidRPr="007C5DFE">
        <w:rPr>
          <w:rFonts w:ascii="Arial" w:eastAsia="宋体" w:hAnsi="Arial" w:hint="eastAsia"/>
          <w:color w:val="auto"/>
          <w:sz w:val="21"/>
          <w:szCs w:val="21"/>
        </w:rPr>
        <w:t>中国证券登记结算有限责任公司</w:t>
      </w:r>
      <w:r w:rsidRPr="00871D16">
        <w:rPr>
          <w:rFonts w:ascii="Arial" w:eastAsia="宋体" w:hAnsi="Arial" w:hint="eastAsia"/>
          <w:color w:val="auto"/>
          <w:sz w:val="21"/>
          <w:szCs w:val="21"/>
        </w:rPr>
        <w:t>完成证券交易及</w:t>
      </w:r>
      <w:proofErr w:type="gramStart"/>
      <w:r w:rsidRPr="00871D16">
        <w:rPr>
          <w:rFonts w:ascii="Arial" w:eastAsia="宋体" w:hAnsi="Arial" w:hint="eastAsia"/>
          <w:color w:val="auto"/>
          <w:sz w:val="21"/>
          <w:szCs w:val="21"/>
        </w:rPr>
        <w:t>非交易</w:t>
      </w:r>
      <w:proofErr w:type="gramEnd"/>
      <w:r w:rsidRPr="00871D16">
        <w:rPr>
          <w:rFonts w:ascii="Arial" w:eastAsia="宋体" w:hAnsi="Arial" w:hint="eastAsia"/>
          <w:color w:val="auto"/>
          <w:sz w:val="21"/>
          <w:szCs w:val="21"/>
        </w:rPr>
        <w:t>涉及的证券资金结算业务</w:t>
      </w:r>
      <w:r w:rsidRPr="00CD4EA8">
        <w:rPr>
          <w:rFonts w:ascii="Arial" w:eastAsia="宋体" w:hAnsi="Arial" w:hint="eastAsia"/>
          <w:color w:val="auto"/>
          <w:sz w:val="21"/>
          <w:szCs w:val="21"/>
        </w:rPr>
        <w:t>，并承担由证券经纪机构原因造成的正常结算、交收业务无法完成的责任。</w:t>
      </w:r>
    </w:p>
    <w:p w14:paraId="2CC64336" w14:textId="2D13D4D9" w:rsidR="00E82EAD" w:rsidRDefault="00E82EAD" w:rsidP="00871D16">
      <w:pPr>
        <w:pStyle w:val="1f"/>
        <w:spacing w:before="100" w:beforeAutospacing="1" w:after="100" w:afterAutospacing="1"/>
        <w:ind w:firstLine="403"/>
        <w:rPr>
          <w:rFonts w:ascii="Arial" w:eastAsia="宋体" w:hAnsi="Arial"/>
          <w:color w:val="auto"/>
          <w:sz w:val="21"/>
          <w:szCs w:val="21"/>
        </w:rPr>
      </w:pPr>
      <w:r>
        <w:rPr>
          <w:rFonts w:ascii="Arial" w:eastAsia="宋体" w:hAnsi="Arial" w:hint="eastAsia"/>
          <w:color w:val="auto"/>
          <w:sz w:val="21"/>
          <w:szCs w:val="21"/>
        </w:rPr>
        <w:t>2</w:t>
      </w:r>
      <w:r>
        <w:rPr>
          <w:rFonts w:ascii="Arial" w:eastAsia="宋体" w:hAnsi="Arial" w:hint="eastAsia"/>
          <w:color w:val="auto"/>
          <w:sz w:val="21"/>
          <w:szCs w:val="21"/>
        </w:rPr>
        <w:t>、</w:t>
      </w:r>
      <w:r w:rsidRPr="00E82EAD">
        <w:rPr>
          <w:rFonts w:ascii="Arial" w:eastAsia="宋体" w:hAnsi="Arial" w:hint="eastAsia"/>
          <w:color w:val="auto"/>
          <w:sz w:val="21"/>
          <w:szCs w:val="21"/>
        </w:rPr>
        <w:t>其它场外交易资金结算</w:t>
      </w:r>
    </w:p>
    <w:p w14:paraId="39AB7151" w14:textId="1E2FD9E1" w:rsidR="007C5DFE" w:rsidRDefault="00871D16" w:rsidP="00871D16">
      <w:pPr>
        <w:pStyle w:val="1f"/>
        <w:spacing w:before="100" w:beforeAutospacing="1" w:after="100" w:afterAutospacing="1"/>
        <w:ind w:firstLine="403"/>
        <w:rPr>
          <w:rFonts w:ascii="Arial" w:eastAsia="宋体" w:hAnsi="Arial"/>
          <w:color w:val="auto"/>
          <w:sz w:val="21"/>
          <w:szCs w:val="21"/>
        </w:rPr>
      </w:pPr>
      <w:r w:rsidRPr="00871D16">
        <w:rPr>
          <w:rFonts w:ascii="Arial" w:eastAsia="宋体" w:hAnsi="Arial" w:hint="eastAsia"/>
          <w:color w:val="auto"/>
          <w:sz w:val="21"/>
          <w:szCs w:val="21"/>
        </w:rPr>
        <w:t>本基金投资于证券发生的所有场外交易的资金清算交收，由基金托管人负责办理。</w:t>
      </w:r>
    </w:p>
    <w:p w14:paraId="736A61CC" w14:textId="130F2A78" w:rsidR="00E82EAD" w:rsidRDefault="00871D16" w:rsidP="00871D16">
      <w:pPr>
        <w:pStyle w:val="1f"/>
        <w:spacing w:before="100" w:beforeAutospacing="1" w:after="100" w:afterAutospacing="1"/>
        <w:ind w:firstLine="403"/>
        <w:rPr>
          <w:rFonts w:ascii="Arial" w:eastAsia="宋体" w:hAnsi="Arial"/>
          <w:color w:val="auto"/>
          <w:sz w:val="21"/>
          <w:szCs w:val="21"/>
        </w:rPr>
      </w:pPr>
      <w:r w:rsidRPr="00871D16">
        <w:rPr>
          <w:rFonts w:ascii="Arial" w:eastAsia="宋体" w:hAnsi="Arial" w:hint="eastAsia"/>
          <w:color w:val="auto"/>
          <w:sz w:val="21"/>
          <w:szCs w:val="21"/>
        </w:rPr>
        <w:t>对基金管理人的资金划拨指令，基金托管人在</w:t>
      </w:r>
      <w:r w:rsidR="00757AE8">
        <w:rPr>
          <w:rFonts w:ascii="Arial" w:eastAsia="宋体" w:hAnsi="Arial" w:hint="eastAsia"/>
          <w:color w:val="auto"/>
          <w:sz w:val="21"/>
          <w:szCs w:val="21"/>
        </w:rPr>
        <w:t>表面一致性审核</w:t>
      </w:r>
      <w:r w:rsidRPr="00871D16">
        <w:rPr>
          <w:rFonts w:ascii="Arial" w:eastAsia="宋体" w:hAnsi="Arial" w:hint="eastAsia"/>
          <w:color w:val="auto"/>
          <w:sz w:val="21"/>
          <w:szCs w:val="21"/>
        </w:rPr>
        <w:t>后应在规定期限内执行</w:t>
      </w:r>
      <w:r w:rsidR="005853CC">
        <w:rPr>
          <w:rFonts w:ascii="Arial" w:eastAsia="宋体" w:hAnsi="Arial" w:hint="eastAsia"/>
          <w:color w:val="auto"/>
          <w:sz w:val="21"/>
          <w:szCs w:val="21"/>
        </w:rPr>
        <w:t>，</w:t>
      </w:r>
      <w:r w:rsidRPr="00871D16">
        <w:rPr>
          <w:rFonts w:ascii="Arial" w:eastAsia="宋体" w:hAnsi="Arial" w:hint="eastAsia"/>
          <w:color w:val="auto"/>
          <w:sz w:val="21"/>
          <w:szCs w:val="21"/>
        </w:rPr>
        <w:t>不得不合理延误。如果因为基金管理人违反法律法规的规定进行证券投资或违反</w:t>
      </w:r>
      <w:r w:rsidR="006E0F02">
        <w:rPr>
          <w:rFonts w:ascii="Arial" w:eastAsia="宋体" w:hAnsi="Arial" w:hint="eastAsia"/>
          <w:color w:val="auto"/>
          <w:sz w:val="21"/>
          <w:szCs w:val="21"/>
        </w:rPr>
        <w:t>本</w:t>
      </w:r>
      <w:r w:rsidRPr="00871D16">
        <w:rPr>
          <w:rFonts w:ascii="Arial" w:eastAsia="宋体" w:hAnsi="Arial" w:hint="eastAsia"/>
          <w:color w:val="auto"/>
          <w:sz w:val="21"/>
          <w:szCs w:val="21"/>
        </w:rPr>
        <w:t>协议造成基金投资清算困难和风险的，基金托管人发现后应立即通知基金管理人，由基金管理人负责解决。</w:t>
      </w:r>
    </w:p>
    <w:p w14:paraId="6BAEA3BF" w14:textId="3865F4FB" w:rsidR="00E82EAD" w:rsidRDefault="00871D16" w:rsidP="00871D16">
      <w:pPr>
        <w:pStyle w:val="1f"/>
        <w:spacing w:before="100" w:beforeAutospacing="1" w:after="100" w:afterAutospacing="1"/>
        <w:ind w:firstLine="403"/>
        <w:rPr>
          <w:rFonts w:ascii="Arial" w:eastAsia="宋体" w:hAnsi="Arial"/>
          <w:color w:val="auto"/>
          <w:sz w:val="21"/>
          <w:szCs w:val="21"/>
        </w:rPr>
      </w:pPr>
      <w:r w:rsidRPr="00871D16">
        <w:rPr>
          <w:rFonts w:ascii="Arial" w:eastAsia="宋体" w:hAnsi="Arial" w:hint="eastAsia"/>
          <w:color w:val="auto"/>
          <w:sz w:val="21"/>
          <w:szCs w:val="21"/>
        </w:rPr>
        <w:t>场外资金对外投资划款由基金托管人</w:t>
      </w:r>
      <w:proofErr w:type="gramStart"/>
      <w:r w:rsidRPr="00871D16">
        <w:rPr>
          <w:rFonts w:ascii="Arial" w:eastAsia="宋体" w:hAnsi="Arial" w:hint="eastAsia"/>
          <w:color w:val="auto"/>
          <w:sz w:val="21"/>
          <w:szCs w:val="21"/>
        </w:rPr>
        <w:t>凭基金</w:t>
      </w:r>
      <w:proofErr w:type="gramEnd"/>
      <w:r w:rsidRPr="00871D16">
        <w:rPr>
          <w:rFonts w:ascii="Arial" w:eastAsia="宋体" w:hAnsi="Arial" w:hint="eastAsia"/>
          <w:color w:val="auto"/>
          <w:sz w:val="21"/>
          <w:szCs w:val="21"/>
        </w:rPr>
        <w:t>管理人符合本托管协议约定的有效资金划拨指令</w:t>
      </w:r>
      <w:r w:rsidR="00E82EAD">
        <w:rPr>
          <w:rFonts w:ascii="Arial" w:eastAsia="宋体" w:hAnsi="Arial" w:hint="eastAsia"/>
          <w:color w:val="auto"/>
          <w:sz w:val="21"/>
          <w:szCs w:val="21"/>
        </w:rPr>
        <w:t>和相关投资合同（如有）</w:t>
      </w:r>
      <w:r w:rsidRPr="00871D16">
        <w:rPr>
          <w:rFonts w:ascii="Arial" w:eastAsia="宋体" w:hAnsi="Arial" w:hint="eastAsia"/>
          <w:color w:val="auto"/>
          <w:sz w:val="21"/>
          <w:szCs w:val="21"/>
        </w:rPr>
        <w:t>进行资金划拨；</w:t>
      </w:r>
      <w:proofErr w:type="gramStart"/>
      <w:r w:rsidRPr="00871D16">
        <w:rPr>
          <w:rFonts w:ascii="Arial" w:eastAsia="宋体" w:hAnsi="Arial" w:hint="eastAsia"/>
          <w:color w:val="auto"/>
          <w:sz w:val="21"/>
          <w:szCs w:val="21"/>
        </w:rPr>
        <w:t>场外投资</w:t>
      </w:r>
      <w:proofErr w:type="gramEnd"/>
      <w:r w:rsidRPr="00871D16">
        <w:rPr>
          <w:rFonts w:ascii="Arial" w:eastAsia="宋体" w:hAnsi="Arial" w:hint="eastAsia"/>
          <w:color w:val="auto"/>
          <w:sz w:val="21"/>
          <w:szCs w:val="21"/>
        </w:rPr>
        <w:t>本金及收益的划回，由基金管理人负责协调相关资金</w:t>
      </w:r>
      <w:proofErr w:type="gramStart"/>
      <w:r w:rsidRPr="00871D16">
        <w:rPr>
          <w:rFonts w:ascii="Arial" w:eastAsia="宋体" w:hAnsi="Arial" w:hint="eastAsia"/>
          <w:color w:val="auto"/>
          <w:sz w:val="21"/>
          <w:szCs w:val="21"/>
        </w:rPr>
        <w:t>划拨回</w:t>
      </w:r>
      <w:proofErr w:type="gramEnd"/>
      <w:r w:rsidR="00E82EAD">
        <w:rPr>
          <w:rFonts w:ascii="Arial" w:eastAsia="宋体" w:hAnsi="Arial" w:hint="eastAsia"/>
          <w:color w:val="auto"/>
          <w:sz w:val="21"/>
          <w:szCs w:val="21"/>
        </w:rPr>
        <w:t>本基金</w:t>
      </w:r>
      <w:r w:rsidRPr="00871D16">
        <w:rPr>
          <w:rFonts w:ascii="Arial" w:eastAsia="宋体" w:hAnsi="Arial" w:hint="eastAsia"/>
          <w:color w:val="auto"/>
          <w:sz w:val="21"/>
          <w:szCs w:val="21"/>
        </w:rPr>
        <w:t>托管账户</w:t>
      </w:r>
      <w:r w:rsidR="00E82EAD">
        <w:rPr>
          <w:rFonts w:ascii="Arial" w:eastAsia="宋体" w:hAnsi="Arial" w:hint="eastAsia"/>
          <w:color w:val="auto"/>
          <w:sz w:val="21"/>
          <w:szCs w:val="21"/>
        </w:rPr>
        <w:t>的相关</w:t>
      </w:r>
      <w:r w:rsidRPr="00871D16">
        <w:rPr>
          <w:rFonts w:ascii="Arial" w:eastAsia="宋体" w:hAnsi="Arial" w:hint="eastAsia"/>
          <w:color w:val="auto"/>
          <w:sz w:val="21"/>
          <w:szCs w:val="21"/>
        </w:rPr>
        <w:t>事宜。</w:t>
      </w:r>
    </w:p>
    <w:p w14:paraId="7177DC01" w14:textId="2A1B0C7F" w:rsidR="008247B4" w:rsidRDefault="00871D16" w:rsidP="00871D16">
      <w:pPr>
        <w:pStyle w:val="1f"/>
        <w:spacing w:before="100" w:beforeAutospacing="1" w:after="100" w:afterAutospacing="1"/>
        <w:ind w:firstLine="403"/>
        <w:rPr>
          <w:rFonts w:ascii="Arial" w:eastAsia="宋体" w:hAnsi="Arial"/>
          <w:color w:val="auto"/>
          <w:sz w:val="21"/>
          <w:szCs w:val="21"/>
        </w:rPr>
      </w:pPr>
      <w:r w:rsidRPr="00871D16">
        <w:rPr>
          <w:rFonts w:ascii="Arial" w:eastAsia="宋体" w:hAnsi="Arial" w:hint="eastAsia"/>
          <w:color w:val="auto"/>
          <w:sz w:val="21"/>
          <w:szCs w:val="21"/>
        </w:rPr>
        <w:t>本基金投资于期货发生的资金交割清算由基金管理人选定的期货经纪</w:t>
      </w:r>
      <w:r w:rsidR="00E82EAD">
        <w:rPr>
          <w:rFonts w:ascii="Arial" w:eastAsia="宋体" w:hAnsi="Arial" w:hint="eastAsia"/>
          <w:color w:val="auto"/>
          <w:sz w:val="21"/>
          <w:szCs w:val="21"/>
        </w:rPr>
        <w:t>机构</w:t>
      </w:r>
      <w:r w:rsidRPr="00871D16">
        <w:rPr>
          <w:rFonts w:ascii="Arial" w:eastAsia="宋体" w:hAnsi="Arial" w:hint="eastAsia"/>
          <w:color w:val="auto"/>
          <w:sz w:val="21"/>
          <w:szCs w:val="21"/>
        </w:rPr>
        <w:t>负责办理，基金托管人对由于期货交易所期货保证金制度和清算交割的需要而存放在期货经纪</w:t>
      </w:r>
      <w:r w:rsidR="00E82EAD">
        <w:rPr>
          <w:rFonts w:ascii="Arial" w:eastAsia="宋体" w:hAnsi="Arial" w:hint="eastAsia"/>
          <w:color w:val="auto"/>
          <w:sz w:val="21"/>
          <w:szCs w:val="21"/>
        </w:rPr>
        <w:t>机构</w:t>
      </w:r>
      <w:r w:rsidRPr="00871D16">
        <w:rPr>
          <w:rFonts w:ascii="Arial" w:eastAsia="宋体" w:hAnsi="Arial" w:hint="eastAsia"/>
          <w:color w:val="auto"/>
          <w:sz w:val="21"/>
          <w:szCs w:val="21"/>
        </w:rPr>
        <w:t>的资金不行使保管职责和交收职责，基金管理人应在期货经纪协议或其它协议中约定由选定的期货经纪</w:t>
      </w:r>
      <w:r w:rsidR="00E82EAD">
        <w:rPr>
          <w:rFonts w:ascii="Arial" w:eastAsia="宋体" w:hAnsi="Arial" w:hint="eastAsia"/>
          <w:color w:val="auto"/>
          <w:sz w:val="21"/>
          <w:szCs w:val="21"/>
        </w:rPr>
        <w:t>机构</w:t>
      </w:r>
      <w:r w:rsidRPr="00871D16">
        <w:rPr>
          <w:rFonts w:ascii="Arial" w:eastAsia="宋体" w:hAnsi="Arial" w:hint="eastAsia"/>
          <w:color w:val="auto"/>
          <w:sz w:val="21"/>
          <w:szCs w:val="21"/>
        </w:rPr>
        <w:t>承担资金安全保管责任和交收责任。</w:t>
      </w:r>
    </w:p>
    <w:p w14:paraId="1E40127E" w14:textId="18C75C6E" w:rsidR="008247B4" w:rsidRDefault="00E82EAD">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3</w:t>
      </w:r>
      <w:r w:rsidR="00CA50F3">
        <w:rPr>
          <w:rFonts w:ascii="Arial" w:eastAsia="宋体" w:hAnsi="Arial"/>
          <w:color w:val="auto"/>
          <w:sz w:val="21"/>
          <w:szCs w:val="21"/>
        </w:rPr>
        <w:t>、由于基金管理人或基金托管</w:t>
      </w:r>
      <w:proofErr w:type="gramStart"/>
      <w:r w:rsidR="00CA50F3">
        <w:rPr>
          <w:rFonts w:ascii="Arial" w:eastAsia="宋体" w:hAnsi="Arial"/>
          <w:color w:val="auto"/>
          <w:sz w:val="21"/>
          <w:szCs w:val="21"/>
        </w:rPr>
        <w:t>人原因</w:t>
      </w:r>
      <w:proofErr w:type="gramEnd"/>
      <w:r w:rsidR="00CA50F3">
        <w:rPr>
          <w:rFonts w:ascii="Arial" w:eastAsia="宋体" w:hAnsi="Arial"/>
          <w:color w:val="auto"/>
          <w:sz w:val="21"/>
          <w:szCs w:val="21"/>
        </w:rPr>
        <w:t>导致基金资金透支、超买或超卖等情形的，由责任方承担相应的责任。</w:t>
      </w:r>
    </w:p>
    <w:p w14:paraId="4CB3971D" w14:textId="459F0BDC" w:rsidR="008247B4" w:rsidRDefault="00E82EAD">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4</w:t>
      </w:r>
      <w:r w:rsidR="00CA50F3">
        <w:rPr>
          <w:rFonts w:ascii="Arial" w:eastAsia="宋体" w:hAnsi="Arial"/>
          <w:color w:val="auto"/>
          <w:sz w:val="21"/>
          <w:szCs w:val="21"/>
        </w:rPr>
        <w:t>、基金管理人应保证基金托管人在执行基金管理人发送的划款指令时，基金银行账户或资金交收账户上有充足的资金。基金的资金头寸不足时，基金托管人</w:t>
      </w:r>
      <w:r w:rsidR="00CA50F3">
        <w:rPr>
          <w:rFonts w:ascii="Arial" w:eastAsia="宋体" w:hAnsi="Arial" w:hint="eastAsia"/>
          <w:color w:val="auto"/>
          <w:sz w:val="21"/>
          <w:szCs w:val="21"/>
        </w:rPr>
        <w:t>应当</w:t>
      </w:r>
      <w:r w:rsidR="00CA50F3">
        <w:rPr>
          <w:rFonts w:ascii="Arial" w:eastAsia="宋体" w:hAnsi="Arial"/>
          <w:color w:val="auto"/>
          <w:sz w:val="21"/>
          <w:szCs w:val="21"/>
        </w:rPr>
        <w:t>拒绝基金管理人发送的划款指令，并及时通知基金管理人，因头寸不足造成的损失，由基金管理人承担</w:t>
      </w:r>
      <w:r w:rsidR="00CA50F3">
        <w:rPr>
          <w:rFonts w:ascii="Arial" w:eastAsia="宋体" w:hAnsi="Arial"/>
          <w:color w:val="auto"/>
          <w:sz w:val="21"/>
          <w:szCs w:val="21"/>
        </w:rPr>
        <w:lastRenderedPageBreak/>
        <w:t>（不可抗力或基金管理人无法控制的因素造成的除外）。基金管理人在发送划款指令时应充分考虑基金托管人的划款处理时间。对于要求当天到账的指令，应在当天</w:t>
      </w:r>
      <w:r w:rsidR="00CA50F3">
        <w:rPr>
          <w:rFonts w:ascii="Arial" w:eastAsia="宋体" w:hAnsi="Arial"/>
          <w:color w:val="auto"/>
          <w:sz w:val="21"/>
          <w:szCs w:val="21"/>
        </w:rPr>
        <w:t>15:00</w:t>
      </w:r>
      <w:r w:rsidR="00CA50F3">
        <w:rPr>
          <w:rFonts w:ascii="Arial" w:eastAsia="宋体" w:hAnsi="Arial"/>
          <w:color w:val="auto"/>
          <w:sz w:val="21"/>
          <w:szCs w:val="21"/>
        </w:rPr>
        <w:t>前发送；对于要求当天某一时点到账，则指令需提前</w:t>
      </w:r>
      <w:r w:rsidR="00CA50F3">
        <w:rPr>
          <w:rFonts w:ascii="Arial" w:eastAsia="宋体" w:hAnsi="Arial"/>
          <w:color w:val="auto"/>
          <w:sz w:val="21"/>
          <w:szCs w:val="21"/>
        </w:rPr>
        <w:t>2</w:t>
      </w:r>
      <w:r w:rsidR="00CA50F3">
        <w:rPr>
          <w:rFonts w:ascii="Arial" w:eastAsia="宋体" w:hAnsi="Arial"/>
          <w:color w:val="auto"/>
          <w:sz w:val="21"/>
          <w:szCs w:val="21"/>
        </w:rPr>
        <w:t>个工作小时发送，并且相关付款条件已经具备。对于新股申购网下公开发行业务，基金管理人应在网下申购缴款日</w:t>
      </w:r>
      <w:r w:rsidR="00CA50F3">
        <w:rPr>
          <w:rFonts w:ascii="Arial" w:eastAsia="宋体" w:hAnsi="Arial"/>
          <w:color w:val="auto"/>
          <w:sz w:val="21"/>
          <w:szCs w:val="21"/>
        </w:rPr>
        <w:t>(T</w:t>
      </w:r>
      <w:r w:rsidR="00CA50F3">
        <w:rPr>
          <w:rFonts w:ascii="Arial" w:eastAsia="宋体" w:hAnsi="Arial"/>
          <w:color w:val="auto"/>
          <w:sz w:val="21"/>
          <w:szCs w:val="21"/>
        </w:rPr>
        <w:t>日</w:t>
      </w:r>
      <w:r w:rsidR="00CA50F3">
        <w:rPr>
          <w:rFonts w:ascii="Arial" w:eastAsia="宋体" w:hAnsi="Arial"/>
          <w:color w:val="auto"/>
          <w:sz w:val="21"/>
          <w:szCs w:val="21"/>
        </w:rPr>
        <w:t>)</w:t>
      </w:r>
      <w:r w:rsidR="00CA50F3">
        <w:rPr>
          <w:rFonts w:ascii="Arial" w:eastAsia="宋体" w:hAnsi="Arial"/>
          <w:color w:val="auto"/>
          <w:sz w:val="21"/>
          <w:szCs w:val="21"/>
        </w:rPr>
        <w:t>的前一工作日下班前将新股申购指令发送给基金托管人，指令发送时间最迟不应晚于</w:t>
      </w:r>
      <w:r w:rsidR="00CA50F3">
        <w:rPr>
          <w:rFonts w:ascii="Arial" w:eastAsia="宋体" w:hAnsi="Arial"/>
          <w:color w:val="auto"/>
          <w:sz w:val="21"/>
          <w:szCs w:val="21"/>
        </w:rPr>
        <w:t>T</w:t>
      </w:r>
      <w:r w:rsidR="00CA50F3">
        <w:rPr>
          <w:rFonts w:ascii="Arial" w:eastAsia="宋体" w:hAnsi="Arial"/>
          <w:color w:val="auto"/>
          <w:sz w:val="21"/>
          <w:szCs w:val="21"/>
        </w:rPr>
        <w:t>日上午</w:t>
      </w:r>
      <w:r w:rsidR="00CA50F3">
        <w:rPr>
          <w:rFonts w:ascii="Arial" w:eastAsia="宋体" w:hAnsi="Arial"/>
          <w:color w:val="auto"/>
          <w:sz w:val="21"/>
          <w:szCs w:val="21"/>
        </w:rPr>
        <w:t>10</w:t>
      </w:r>
      <w:r w:rsidR="00CA50F3">
        <w:rPr>
          <w:rFonts w:ascii="Arial" w:eastAsia="宋体" w:hAnsi="Arial"/>
          <w:color w:val="auto"/>
          <w:sz w:val="21"/>
          <w:szCs w:val="21"/>
        </w:rPr>
        <w:t>：</w:t>
      </w:r>
      <w:r w:rsidR="00CA50F3">
        <w:rPr>
          <w:rFonts w:ascii="Arial" w:eastAsia="宋体" w:hAnsi="Arial"/>
          <w:color w:val="auto"/>
          <w:sz w:val="21"/>
          <w:szCs w:val="21"/>
        </w:rPr>
        <w:t>00</w:t>
      </w:r>
      <w:r w:rsidR="00CA50F3">
        <w:rPr>
          <w:rFonts w:ascii="Arial" w:eastAsia="宋体" w:hAnsi="Arial"/>
          <w:color w:val="auto"/>
          <w:sz w:val="21"/>
          <w:szCs w:val="21"/>
        </w:rPr>
        <w:t>。</w:t>
      </w:r>
      <w:r w:rsidR="00CA50F3">
        <w:rPr>
          <w:rFonts w:ascii="Arial" w:eastAsia="宋体" w:hAnsi="Arial" w:hint="eastAsia"/>
          <w:color w:val="auto"/>
          <w:sz w:val="21"/>
          <w:szCs w:val="21"/>
        </w:rPr>
        <w:t>对于预留时间不足的管理人指令，托管人尽力配合处理。</w:t>
      </w:r>
    </w:p>
    <w:p w14:paraId="76376E10"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（三）资金、证券账目和交易记录核对</w:t>
      </w:r>
    </w:p>
    <w:p w14:paraId="478645B0"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基金管理人和基金托管人应对本基金的资金、证券账目及交易记录进行核对。</w:t>
      </w:r>
    </w:p>
    <w:p w14:paraId="052C3DBE" w14:textId="68B5ABC8" w:rsidR="008247B4" w:rsidRDefault="00CA50F3">
      <w:pPr>
        <w:pStyle w:val="317"/>
        <w:spacing w:before="100" w:beforeAutospacing="1" w:after="100" w:afterAutospacing="1" w:line="400" w:lineRule="exact"/>
        <w:ind w:left="0" w:right="28" w:firstLine="403"/>
        <w:rPr>
          <w:rFonts w:ascii="Arial" w:eastAsia="宋体" w:hAnsi="Arial"/>
          <w:sz w:val="21"/>
          <w:szCs w:val="21"/>
        </w:rPr>
      </w:pPr>
      <w:r>
        <w:rPr>
          <w:rFonts w:ascii="Arial" w:eastAsia="宋体" w:hAnsi="Arial"/>
          <w:sz w:val="21"/>
          <w:szCs w:val="21"/>
        </w:rPr>
        <w:t>（四）申购、赎回</w:t>
      </w:r>
      <w:r w:rsidR="003B2B80">
        <w:rPr>
          <w:rFonts w:ascii="Arial" w:eastAsia="宋体" w:hAnsi="Arial" w:hint="eastAsia"/>
          <w:sz w:val="21"/>
          <w:szCs w:val="21"/>
        </w:rPr>
        <w:t>业务处理</w:t>
      </w:r>
      <w:r>
        <w:rPr>
          <w:rFonts w:ascii="Arial" w:eastAsia="宋体" w:hAnsi="Arial"/>
          <w:sz w:val="21"/>
          <w:szCs w:val="21"/>
        </w:rPr>
        <w:t>和</w:t>
      </w:r>
      <w:r w:rsidR="00344418">
        <w:rPr>
          <w:rFonts w:ascii="Arial" w:eastAsia="宋体" w:hAnsi="Arial" w:hint="eastAsia"/>
          <w:sz w:val="21"/>
          <w:szCs w:val="21"/>
        </w:rPr>
        <w:t>清算交收</w:t>
      </w:r>
      <w:r w:rsidR="003B2B80">
        <w:rPr>
          <w:rFonts w:ascii="Arial" w:eastAsia="宋体" w:hAnsi="Arial" w:hint="eastAsia"/>
          <w:sz w:val="21"/>
          <w:szCs w:val="21"/>
        </w:rPr>
        <w:t>的基本规定</w:t>
      </w:r>
    </w:p>
    <w:p w14:paraId="723C7F7A" w14:textId="77777777" w:rsidR="00E82EAD" w:rsidRPr="00E82EAD" w:rsidRDefault="00E82EAD" w:rsidP="00E82EAD">
      <w:pPr>
        <w:pStyle w:val="317"/>
        <w:spacing w:before="100" w:beforeAutospacing="1" w:after="100" w:afterAutospacing="1" w:line="400" w:lineRule="exact"/>
        <w:ind w:right="28" w:firstLine="403"/>
        <w:rPr>
          <w:rFonts w:ascii="Arial" w:eastAsia="宋体" w:hAnsi="Arial"/>
          <w:sz w:val="21"/>
          <w:szCs w:val="21"/>
        </w:rPr>
      </w:pPr>
      <w:r w:rsidRPr="00E82EAD">
        <w:rPr>
          <w:rFonts w:ascii="Arial" w:eastAsia="宋体" w:hAnsi="Arial" w:hint="eastAsia"/>
          <w:sz w:val="21"/>
          <w:szCs w:val="21"/>
        </w:rPr>
        <w:t>1</w:t>
      </w:r>
      <w:r w:rsidRPr="00E82EAD">
        <w:rPr>
          <w:rFonts w:ascii="Arial" w:eastAsia="宋体" w:hAnsi="Arial" w:hint="eastAsia"/>
          <w:sz w:val="21"/>
          <w:szCs w:val="21"/>
        </w:rPr>
        <w:t>、基金管理人和基金托管人应当按照《基金合同》、《招募说明书》的约定，在基金申购、赎回的时间、场所、方式、程序、价格、费用、收款或付款等各方面相互配合，积极履行各自的义务，保证基金的申购、赎回工作能够顺利进行。</w:t>
      </w:r>
    </w:p>
    <w:p w14:paraId="15F359EB" w14:textId="077E94CC" w:rsidR="00E82EAD" w:rsidRPr="00E82EAD" w:rsidRDefault="00E82EAD" w:rsidP="00E82EAD">
      <w:pPr>
        <w:pStyle w:val="317"/>
        <w:spacing w:before="100" w:beforeAutospacing="1" w:after="100" w:afterAutospacing="1" w:line="400" w:lineRule="exact"/>
        <w:ind w:right="28" w:firstLine="403"/>
        <w:rPr>
          <w:rFonts w:ascii="Arial" w:eastAsia="宋体" w:hAnsi="Arial"/>
          <w:sz w:val="21"/>
          <w:szCs w:val="21"/>
        </w:rPr>
      </w:pPr>
      <w:r w:rsidRPr="00E82EAD">
        <w:rPr>
          <w:rFonts w:ascii="Arial" w:eastAsia="宋体" w:hAnsi="Arial" w:hint="eastAsia"/>
          <w:sz w:val="21"/>
          <w:szCs w:val="21"/>
        </w:rPr>
        <w:t>2</w:t>
      </w:r>
      <w:r w:rsidRPr="00E82EAD">
        <w:rPr>
          <w:rFonts w:ascii="Arial" w:eastAsia="宋体" w:hAnsi="Arial" w:hint="eastAsia"/>
          <w:sz w:val="21"/>
          <w:szCs w:val="21"/>
        </w:rPr>
        <w:t>、本基金申购赎回过</w:t>
      </w:r>
      <w:r w:rsidRPr="003B2B80">
        <w:rPr>
          <w:rFonts w:ascii="Arial" w:eastAsia="宋体" w:hAnsi="Arial" w:hint="eastAsia"/>
          <w:sz w:val="21"/>
          <w:szCs w:val="21"/>
        </w:rPr>
        <w:t>程中涉及的基金份额、</w:t>
      </w:r>
      <w:r w:rsidRPr="00034B22">
        <w:rPr>
          <w:rFonts w:ascii="Arial" w:eastAsia="宋体" w:hAnsi="Arial" w:hint="eastAsia"/>
          <w:sz w:val="21"/>
          <w:szCs w:val="21"/>
        </w:rPr>
        <w:t>现金替代、现金差额及其他</w:t>
      </w:r>
      <w:r w:rsidRPr="00E82EAD">
        <w:rPr>
          <w:rFonts w:ascii="Arial" w:eastAsia="宋体" w:hAnsi="Arial" w:hint="eastAsia"/>
          <w:sz w:val="21"/>
          <w:szCs w:val="21"/>
        </w:rPr>
        <w:t>对价的清算交收适用相关业务规则和参与各方相关协议及其不时修订的有关规定。如遇特殊情况，双方协商处理。</w:t>
      </w:r>
    </w:p>
    <w:p w14:paraId="33CD43BF" w14:textId="77777777" w:rsidR="00E82EAD" w:rsidRPr="00E82EAD" w:rsidRDefault="00E82EAD" w:rsidP="00E82EAD">
      <w:pPr>
        <w:pStyle w:val="317"/>
        <w:spacing w:before="100" w:beforeAutospacing="1" w:after="100" w:afterAutospacing="1" w:line="400" w:lineRule="exact"/>
        <w:ind w:right="28" w:firstLine="403"/>
        <w:rPr>
          <w:rFonts w:ascii="Arial" w:eastAsia="宋体" w:hAnsi="Arial"/>
          <w:sz w:val="21"/>
          <w:szCs w:val="21"/>
        </w:rPr>
      </w:pPr>
      <w:r w:rsidRPr="00E82EAD">
        <w:rPr>
          <w:rFonts w:ascii="Arial" w:eastAsia="宋体" w:hAnsi="Arial" w:hint="eastAsia"/>
          <w:sz w:val="21"/>
          <w:szCs w:val="21"/>
        </w:rPr>
        <w:t>如果登记结算机构和基金管理人在清算交收时发现不能正常履约的情形，则依据业务规则和参与各方相关协议及其不时修订的有关规定进行处理。</w:t>
      </w:r>
    </w:p>
    <w:p w14:paraId="07FAB2E6" w14:textId="1A567BEA" w:rsidR="00B26559" w:rsidRDefault="00E82EAD">
      <w:pPr>
        <w:pStyle w:val="1f"/>
        <w:spacing w:before="100" w:beforeAutospacing="1" w:after="100" w:afterAutospacing="1"/>
        <w:ind w:firstLine="403"/>
        <w:rPr>
          <w:rFonts w:ascii="Arial" w:eastAsia="宋体" w:hAnsi="Arial"/>
          <w:color w:val="auto"/>
          <w:sz w:val="21"/>
          <w:szCs w:val="21"/>
        </w:rPr>
      </w:pPr>
      <w:r w:rsidRPr="00E82EAD">
        <w:rPr>
          <w:rFonts w:ascii="Arial" w:eastAsia="宋体" w:hAnsi="Arial" w:hint="eastAsia"/>
          <w:sz w:val="21"/>
          <w:szCs w:val="21"/>
        </w:rPr>
        <w:t>基金管理人、证券交易所、登记结算机构可在法律法规允许的范围内，对基金份额申购赎回的程序以及清算交收和登记的办理时间、方式、处理规则等进行调整，基金管理人应最迟于开始实施前依照《信息披露办法》的有关规定在规定媒介上公告。</w:t>
      </w:r>
      <w:bookmarkStart w:id="25" w:name="OLE_LINK5"/>
      <w:bookmarkStart w:id="26" w:name="OLE_LINK4"/>
      <w:bookmarkEnd w:id="25"/>
      <w:bookmarkEnd w:id="26"/>
    </w:p>
    <w:p w14:paraId="00615901" w14:textId="77777777" w:rsidR="008247B4" w:rsidRDefault="00CA50F3">
      <w:pPr>
        <w:pStyle w:val="116"/>
        <w:spacing w:before="100" w:beforeAutospacing="1" w:after="100" w:afterAutospacing="1" w:line="400" w:lineRule="exact"/>
        <w:ind w:firstLine="422"/>
        <w:rPr>
          <w:rFonts w:ascii="Arial" w:hAnsi="Arial"/>
          <w:sz w:val="21"/>
          <w:szCs w:val="21"/>
        </w:rPr>
      </w:pPr>
      <w:bookmarkStart w:id="27" w:name="_Toc116900103"/>
      <w:bookmarkStart w:id="28" w:name="_Toc202171869"/>
      <w:r>
        <w:rPr>
          <w:rFonts w:ascii="Arial" w:hAnsi="Arial"/>
          <w:sz w:val="21"/>
          <w:szCs w:val="21"/>
        </w:rPr>
        <w:t>八、基金资产净值计算和会计核算</w:t>
      </w:r>
      <w:bookmarkEnd w:id="27"/>
      <w:bookmarkEnd w:id="28"/>
    </w:p>
    <w:p w14:paraId="31A03A3B"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bookmarkStart w:id="29" w:name="OLE_LINK76"/>
      <w:r>
        <w:rPr>
          <w:rFonts w:ascii="Arial" w:eastAsia="宋体" w:hAnsi="Arial"/>
          <w:sz w:val="21"/>
          <w:szCs w:val="21"/>
        </w:rPr>
        <w:t>（一）基金资产净值的计算和复核</w:t>
      </w:r>
    </w:p>
    <w:p w14:paraId="6AE6AC1E" w14:textId="73E78D7B"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1</w:t>
      </w:r>
      <w:r>
        <w:rPr>
          <w:rFonts w:ascii="Arial" w:eastAsia="宋体" w:hAnsi="Arial"/>
          <w:sz w:val="21"/>
          <w:szCs w:val="21"/>
        </w:rPr>
        <w:t>、基金资产净值是指基金资产总值减去基金负债后的价值。</w:t>
      </w:r>
      <w:r>
        <w:rPr>
          <w:rFonts w:ascii="Arial" w:eastAsia="宋体" w:hAnsi="Arial" w:hint="eastAsia"/>
          <w:sz w:val="21"/>
          <w:szCs w:val="21"/>
        </w:rPr>
        <w:t>基金份额净值是按照每个工作日闭市后，基金资产净值除以当日基金份额的余额数量计算，精确到</w:t>
      </w:r>
      <w:r>
        <w:rPr>
          <w:rFonts w:ascii="Arial" w:eastAsia="宋体" w:hAnsi="Arial" w:hint="eastAsia"/>
          <w:sz w:val="21"/>
          <w:szCs w:val="21"/>
        </w:rPr>
        <w:t>0.0001</w:t>
      </w:r>
      <w:r>
        <w:rPr>
          <w:rFonts w:ascii="Arial" w:eastAsia="宋体" w:hAnsi="Arial" w:hint="eastAsia"/>
          <w:sz w:val="21"/>
          <w:szCs w:val="21"/>
        </w:rPr>
        <w:t>元，小数点后第</w:t>
      </w:r>
      <w:r>
        <w:rPr>
          <w:rFonts w:ascii="Arial" w:eastAsia="宋体" w:hAnsi="Arial" w:hint="eastAsia"/>
          <w:sz w:val="21"/>
          <w:szCs w:val="21"/>
        </w:rPr>
        <w:t>5</w:t>
      </w:r>
      <w:r>
        <w:rPr>
          <w:rFonts w:ascii="Arial" w:eastAsia="宋体" w:hAnsi="Arial" w:hint="eastAsia"/>
          <w:sz w:val="21"/>
          <w:szCs w:val="21"/>
        </w:rPr>
        <w:t>位四舍五入，由此产生的收益或损失</w:t>
      </w:r>
      <w:r w:rsidR="00E72F76">
        <w:rPr>
          <w:rFonts w:ascii="Arial" w:eastAsia="宋体" w:hAnsi="Arial" w:hint="eastAsia"/>
          <w:sz w:val="21"/>
          <w:szCs w:val="21"/>
        </w:rPr>
        <w:t>由</w:t>
      </w:r>
      <w:r>
        <w:rPr>
          <w:rFonts w:ascii="Arial" w:eastAsia="宋体" w:hAnsi="Arial" w:hint="eastAsia"/>
          <w:sz w:val="21"/>
          <w:szCs w:val="21"/>
        </w:rPr>
        <w:t>基金财产</w:t>
      </w:r>
      <w:r w:rsidR="00E72F76">
        <w:rPr>
          <w:rFonts w:ascii="Arial" w:eastAsia="宋体" w:hAnsi="Arial" w:hint="eastAsia"/>
          <w:sz w:val="21"/>
          <w:szCs w:val="21"/>
        </w:rPr>
        <w:t>承担</w:t>
      </w:r>
      <w:r>
        <w:rPr>
          <w:rFonts w:ascii="Arial" w:eastAsia="宋体" w:hAnsi="Arial" w:hint="eastAsia"/>
          <w:sz w:val="21"/>
          <w:szCs w:val="21"/>
        </w:rPr>
        <w:t>。基金管理人可以设立大额赎回情形下的净值精度应急调整机制。国家另有规定的，从其规定。</w:t>
      </w:r>
    </w:p>
    <w:p w14:paraId="2E65FC73" w14:textId="5AC00D8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2</w:t>
      </w:r>
      <w:r>
        <w:rPr>
          <w:rFonts w:ascii="Arial" w:hAnsi="Arial"/>
          <w:szCs w:val="21"/>
        </w:rPr>
        <w:t>、基金管理人</w:t>
      </w:r>
      <w:proofErr w:type="gramStart"/>
      <w:r>
        <w:rPr>
          <w:rFonts w:ascii="Arial" w:hAnsi="Arial"/>
          <w:szCs w:val="21"/>
        </w:rPr>
        <w:t>应每个</w:t>
      </w:r>
      <w:proofErr w:type="gramEnd"/>
      <w:r>
        <w:rPr>
          <w:rFonts w:ascii="Arial" w:hAnsi="Arial" w:hint="eastAsia"/>
          <w:szCs w:val="21"/>
        </w:rPr>
        <w:t>工作</w:t>
      </w:r>
      <w:r>
        <w:rPr>
          <w:rFonts w:ascii="Arial" w:hAnsi="Arial"/>
          <w:szCs w:val="21"/>
        </w:rPr>
        <w:t>日对基金资产估值，但基金管理人根据法律法规或《基金</w:t>
      </w:r>
      <w:r>
        <w:rPr>
          <w:rFonts w:ascii="Arial" w:hAnsi="Arial"/>
          <w:szCs w:val="21"/>
        </w:rPr>
        <w:lastRenderedPageBreak/>
        <w:t>合同》的规定暂停估值时除外。估值原则应符合《基金合同》、《证券投资基金会计核算业务指引》及其他法律法规的规定。基金资产净值和基金份额净值由基金管理人负责计算，基金托管人复核。基金管理人每个</w:t>
      </w:r>
      <w:r>
        <w:rPr>
          <w:rFonts w:ascii="Arial" w:hAnsi="Arial" w:hint="eastAsia"/>
          <w:szCs w:val="21"/>
        </w:rPr>
        <w:t>工作</w:t>
      </w:r>
      <w:r>
        <w:rPr>
          <w:rFonts w:ascii="Arial" w:hAnsi="Arial"/>
          <w:szCs w:val="21"/>
        </w:rPr>
        <w:t>日</w:t>
      </w:r>
      <w:r w:rsidR="00BF4476">
        <w:rPr>
          <w:rFonts w:ascii="Arial" w:hAnsi="Arial" w:hint="eastAsia"/>
          <w:szCs w:val="21"/>
        </w:rPr>
        <w:t>对</w:t>
      </w:r>
      <w:r>
        <w:rPr>
          <w:rFonts w:ascii="Arial" w:hAnsi="Arial"/>
          <w:szCs w:val="21"/>
        </w:rPr>
        <w:t>基金资产</w:t>
      </w:r>
      <w:r w:rsidR="00BF4476">
        <w:rPr>
          <w:rFonts w:ascii="Arial" w:hAnsi="Arial" w:hint="eastAsia"/>
          <w:szCs w:val="21"/>
        </w:rPr>
        <w:t>估值后，将基金份额净值结果发送基金托管人，经基金托管人复核无误后，由基金管理人按照规定对外公布。</w:t>
      </w:r>
    </w:p>
    <w:p w14:paraId="1992A3DE" w14:textId="6B4ABDA1"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3</w:t>
      </w:r>
      <w:r>
        <w:rPr>
          <w:rFonts w:ascii="Arial" w:eastAsia="宋体" w:hAnsi="Arial"/>
          <w:sz w:val="21"/>
          <w:szCs w:val="21"/>
        </w:rPr>
        <w:t>、</w:t>
      </w:r>
      <w:proofErr w:type="gramStart"/>
      <w:r>
        <w:rPr>
          <w:rFonts w:ascii="Arial" w:eastAsia="宋体" w:hAnsi="Arial"/>
          <w:sz w:val="21"/>
          <w:szCs w:val="21"/>
        </w:rPr>
        <w:t>当相关</w:t>
      </w:r>
      <w:proofErr w:type="gramEnd"/>
      <w:r>
        <w:rPr>
          <w:rFonts w:ascii="Arial" w:eastAsia="宋体" w:hAnsi="Arial"/>
          <w:sz w:val="21"/>
          <w:szCs w:val="21"/>
        </w:rPr>
        <w:t>法律法规或《基金合同》规定的估值方法不能客观反映基金财产公允价值时，基金管理人可根据具体情况，并与基金托管人商定后，按最能反映公允价值的价格估值。</w:t>
      </w:r>
    </w:p>
    <w:p w14:paraId="29A53831" w14:textId="0AB6B625"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4</w:t>
      </w:r>
      <w:r>
        <w:rPr>
          <w:rFonts w:ascii="Arial" w:eastAsia="宋体" w:hAnsi="Arial"/>
          <w:sz w:val="21"/>
          <w:szCs w:val="21"/>
        </w:rPr>
        <w:t>、基金管理人、基金托管人发现基金估值违反《基金合同》订明的估值方法、程序以及相关法律法规的规定或者未能充分维护基金份额持有人利益时，双方应及时进行协商和纠正。</w:t>
      </w:r>
    </w:p>
    <w:p w14:paraId="426980A6" w14:textId="59772CF6"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5</w:t>
      </w:r>
      <w:r>
        <w:rPr>
          <w:rFonts w:ascii="Arial" w:hAnsi="Arial"/>
          <w:szCs w:val="21"/>
        </w:rPr>
        <w:t>、当基金份额净值小数点后</w:t>
      </w:r>
      <w:r w:rsidR="00BF4476">
        <w:rPr>
          <w:rFonts w:ascii="Arial" w:hAnsi="Arial" w:hint="eastAsia"/>
          <w:szCs w:val="21"/>
        </w:rPr>
        <w:t>4</w:t>
      </w:r>
      <w:r>
        <w:rPr>
          <w:rFonts w:ascii="Arial" w:hAnsi="Arial"/>
          <w:szCs w:val="21"/>
        </w:rPr>
        <w:t>位</w:t>
      </w:r>
      <w:r w:rsidR="004A423B">
        <w:rPr>
          <w:rFonts w:ascii="Arial" w:hAnsi="Arial" w:hint="eastAsia"/>
          <w:szCs w:val="21"/>
        </w:rPr>
        <w:t>以</w:t>
      </w:r>
      <w:r>
        <w:rPr>
          <w:rFonts w:ascii="Arial" w:hAnsi="Arial"/>
          <w:szCs w:val="21"/>
        </w:rPr>
        <w:t>内（含</w:t>
      </w:r>
      <w:r w:rsidR="00BF4476">
        <w:rPr>
          <w:rFonts w:ascii="Arial" w:hAnsi="Arial"/>
          <w:szCs w:val="21"/>
        </w:rPr>
        <w:t>第</w:t>
      </w:r>
      <w:r w:rsidR="00BF4476">
        <w:rPr>
          <w:rFonts w:ascii="Arial" w:hAnsi="Arial" w:hint="eastAsia"/>
          <w:szCs w:val="21"/>
        </w:rPr>
        <w:t>4</w:t>
      </w:r>
      <w:r>
        <w:rPr>
          <w:rFonts w:ascii="Arial" w:hAnsi="Arial"/>
          <w:szCs w:val="21"/>
        </w:rPr>
        <w:t>位）发生</w:t>
      </w:r>
      <w:r w:rsidR="00BF4476">
        <w:rPr>
          <w:rFonts w:ascii="Arial" w:hAnsi="Arial" w:hint="eastAsia"/>
          <w:szCs w:val="21"/>
        </w:rPr>
        <w:t>估值错误</w:t>
      </w:r>
      <w:r>
        <w:rPr>
          <w:rFonts w:ascii="Arial" w:hAnsi="Arial"/>
          <w:szCs w:val="21"/>
        </w:rPr>
        <w:t>时，视为基金份额净值错误。基金份额净值</w:t>
      </w:r>
      <w:r w:rsidR="004A423B">
        <w:rPr>
          <w:rFonts w:ascii="Arial" w:hAnsi="Arial" w:hint="eastAsia"/>
          <w:szCs w:val="21"/>
        </w:rPr>
        <w:t>计算</w:t>
      </w:r>
      <w:r>
        <w:rPr>
          <w:rFonts w:ascii="Arial" w:hAnsi="Arial"/>
          <w:szCs w:val="21"/>
        </w:rPr>
        <w:t>出现错误时，基金管理人应当立即予以纠正，</w:t>
      </w:r>
      <w:r w:rsidR="00BF4476">
        <w:rPr>
          <w:rFonts w:ascii="Arial" w:hAnsi="Arial" w:hint="eastAsia"/>
          <w:szCs w:val="21"/>
        </w:rPr>
        <w:t>通报基金托管人</w:t>
      </w:r>
      <w:r w:rsidR="00692F2F">
        <w:rPr>
          <w:rFonts w:ascii="Arial" w:hAnsi="Arial" w:hint="eastAsia"/>
          <w:szCs w:val="21"/>
        </w:rPr>
        <w:t>，</w:t>
      </w:r>
      <w:r>
        <w:rPr>
          <w:rFonts w:ascii="Arial" w:hAnsi="Arial"/>
          <w:szCs w:val="21"/>
        </w:rPr>
        <w:t>并采取合理的措施防止损失进一步扩大；</w:t>
      </w:r>
      <w:r w:rsidR="00692F2F">
        <w:rPr>
          <w:rFonts w:ascii="Arial" w:hAnsi="Arial" w:hint="eastAsia"/>
          <w:szCs w:val="21"/>
        </w:rPr>
        <w:t>错误偏差达到</w:t>
      </w:r>
      <w:r>
        <w:rPr>
          <w:rFonts w:ascii="Arial" w:hAnsi="Arial"/>
          <w:szCs w:val="21"/>
        </w:rPr>
        <w:t>基金份额净值的</w:t>
      </w:r>
      <w:r>
        <w:rPr>
          <w:rFonts w:ascii="Arial" w:hAnsi="Arial"/>
          <w:szCs w:val="21"/>
        </w:rPr>
        <w:t>0.25%</w:t>
      </w:r>
      <w:r>
        <w:rPr>
          <w:rFonts w:ascii="Arial" w:hAnsi="Arial"/>
          <w:szCs w:val="21"/>
        </w:rPr>
        <w:t>时，基金管理人应当通</w:t>
      </w:r>
      <w:r w:rsidR="00692F2F">
        <w:rPr>
          <w:rFonts w:ascii="Arial" w:hAnsi="Arial" w:hint="eastAsia"/>
          <w:szCs w:val="21"/>
        </w:rPr>
        <w:t>报</w:t>
      </w:r>
      <w:r>
        <w:rPr>
          <w:rFonts w:ascii="Arial" w:hAnsi="Arial"/>
          <w:szCs w:val="21"/>
        </w:rPr>
        <w:t>基金托管人并报中国证监会备案；</w:t>
      </w:r>
      <w:r w:rsidR="00692F2F">
        <w:rPr>
          <w:rFonts w:ascii="Arial" w:hAnsi="Arial" w:hint="eastAsia"/>
          <w:szCs w:val="21"/>
        </w:rPr>
        <w:t>错误偏差达到</w:t>
      </w:r>
      <w:r>
        <w:rPr>
          <w:rFonts w:ascii="Arial" w:hAnsi="Arial"/>
          <w:szCs w:val="21"/>
        </w:rPr>
        <w:t>基金份额净值的</w:t>
      </w:r>
      <w:r>
        <w:rPr>
          <w:rFonts w:ascii="Arial" w:hAnsi="Arial"/>
          <w:szCs w:val="21"/>
        </w:rPr>
        <w:t>0.5%</w:t>
      </w:r>
      <w:r>
        <w:rPr>
          <w:rFonts w:ascii="Arial" w:hAnsi="Arial"/>
          <w:szCs w:val="21"/>
        </w:rPr>
        <w:t>时，基金管理人应当</w:t>
      </w:r>
      <w:r>
        <w:rPr>
          <w:rFonts w:ascii="Arial" w:hAnsi="Arial" w:hint="eastAsia"/>
          <w:szCs w:val="21"/>
        </w:rPr>
        <w:t>公告，通报</w:t>
      </w:r>
      <w:r>
        <w:rPr>
          <w:rFonts w:ascii="Arial" w:hAnsi="Arial"/>
          <w:szCs w:val="21"/>
        </w:rPr>
        <w:t>基金托管人</w:t>
      </w:r>
      <w:r w:rsidR="00692F2F">
        <w:rPr>
          <w:rFonts w:ascii="Arial" w:hAnsi="Arial" w:hint="eastAsia"/>
          <w:szCs w:val="21"/>
        </w:rPr>
        <w:t>，</w:t>
      </w:r>
      <w:r>
        <w:rPr>
          <w:rFonts w:ascii="Arial" w:hAnsi="Arial"/>
          <w:szCs w:val="21"/>
        </w:rPr>
        <w:t>并报中国证监会备案。</w:t>
      </w:r>
      <w:r w:rsidR="00A1452A">
        <w:rPr>
          <w:rFonts w:ascii="Arial" w:hAnsi="Arial" w:hint="eastAsia"/>
          <w:szCs w:val="21"/>
        </w:rPr>
        <w:t>前述内容</w:t>
      </w:r>
      <w:r>
        <w:rPr>
          <w:rFonts w:ascii="Arial" w:hAnsi="Arial"/>
          <w:szCs w:val="21"/>
        </w:rPr>
        <w:t>如法律法规或监管机关另有规定的，</w:t>
      </w:r>
      <w:r w:rsidR="00692F2F">
        <w:rPr>
          <w:rFonts w:ascii="Arial" w:hAnsi="Arial" w:hint="eastAsia"/>
          <w:szCs w:val="21"/>
        </w:rPr>
        <w:t>从</w:t>
      </w:r>
      <w:r>
        <w:rPr>
          <w:rFonts w:ascii="Arial" w:hAnsi="Arial"/>
          <w:szCs w:val="21"/>
        </w:rPr>
        <w:t>其规定处理。</w:t>
      </w:r>
    </w:p>
    <w:p w14:paraId="647939C4" w14:textId="491EBB19"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6</w:t>
      </w:r>
      <w:r>
        <w:rPr>
          <w:rFonts w:ascii="Arial" w:eastAsia="宋体" w:hAnsi="Arial"/>
          <w:sz w:val="21"/>
          <w:szCs w:val="21"/>
        </w:rPr>
        <w:t>、除《基金合同》和本协议另有约定外</w:t>
      </w:r>
      <w:r>
        <w:rPr>
          <w:rFonts w:ascii="Arial" w:eastAsia="宋体" w:hAnsi="Arial"/>
          <w:sz w:val="21"/>
          <w:szCs w:val="21"/>
        </w:rPr>
        <w:t>,</w:t>
      </w:r>
      <w:r>
        <w:rPr>
          <w:rFonts w:ascii="Arial" w:eastAsia="宋体" w:hAnsi="Arial"/>
          <w:sz w:val="21"/>
          <w:szCs w:val="21"/>
        </w:rPr>
        <w:t>由于基金管理人对外公布的任何基金净值数据错误，导致该基金财产或基金份额持有人的直接损失，基金管理人应依据《基金合同》及本协议承担责任。</w:t>
      </w:r>
      <w:proofErr w:type="gramStart"/>
      <w:r>
        <w:rPr>
          <w:rFonts w:ascii="Arial" w:eastAsia="宋体" w:hAnsi="Arial"/>
          <w:sz w:val="21"/>
          <w:szCs w:val="21"/>
        </w:rPr>
        <w:t>若基金</w:t>
      </w:r>
      <w:proofErr w:type="gramEnd"/>
      <w:r>
        <w:rPr>
          <w:rFonts w:ascii="Arial" w:eastAsia="宋体" w:hAnsi="Arial"/>
          <w:sz w:val="21"/>
          <w:szCs w:val="21"/>
        </w:rPr>
        <w:t>托管人计算的净值数据正确，</w:t>
      </w:r>
      <w:proofErr w:type="gramStart"/>
      <w:r>
        <w:rPr>
          <w:rFonts w:ascii="Arial" w:eastAsia="宋体" w:hAnsi="Arial"/>
          <w:sz w:val="21"/>
          <w:szCs w:val="21"/>
        </w:rPr>
        <w:t>则基金</w:t>
      </w:r>
      <w:proofErr w:type="gramEnd"/>
      <w:r>
        <w:rPr>
          <w:rFonts w:ascii="Arial" w:eastAsia="宋体" w:hAnsi="Arial"/>
          <w:sz w:val="21"/>
          <w:szCs w:val="21"/>
        </w:rPr>
        <w:t>托管人对该损失不承担责任；</w:t>
      </w:r>
      <w:r>
        <w:rPr>
          <w:rFonts w:ascii="Arial" w:eastAsia="宋体" w:hAnsi="Arial" w:hint="eastAsia"/>
          <w:sz w:val="21"/>
          <w:szCs w:val="21"/>
        </w:rPr>
        <w:t>否则</w:t>
      </w:r>
      <w:r>
        <w:rPr>
          <w:rFonts w:ascii="Arial" w:eastAsia="宋体" w:hAnsi="Arial"/>
          <w:sz w:val="21"/>
          <w:szCs w:val="21"/>
        </w:rPr>
        <w:t>基金托管人也应承担未正确履行复核义务的责任。</w:t>
      </w:r>
      <w:r w:rsidR="00692F2F" w:rsidRPr="00692F2F">
        <w:rPr>
          <w:rFonts w:ascii="Arial" w:eastAsia="宋体" w:hAnsi="Arial" w:hint="eastAsia"/>
          <w:sz w:val="21"/>
          <w:szCs w:val="21"/>
        </w:rPr>
        <w:t>因估值错误而获得不当得利的当事人负有及时返还不当得利的义务。但估值错误责任方仍应对估值错误负责。如果由于获得不当得利的当事人</w:t>
      </w:r>
      <w:proofErr w:type="gramStart"/>
      <w:r w:rsidR="00692F2F" w:rsidRPr="00692F2F">
        <w:rPr>
          <w:rFonts w:ascii="Arial" w:eastAsia="宋体" w:hAnsi="Arial" w:hint="eastAsia"/>
          <w:sz w:val="21"/>
          <w:szCs w:val="21"/>
        </w:rPr>
        <w:t>不</w:t>
      </w:r>
      <w:proofErr w:type="gramEnd"/>
      <w:r w:rsidR="00692F2F" w:rsidRPr="00692F2F">
        <w:rPr>
          <w:rFonts w:ascii="Arial" w:eastAsia="宋体" w:hAnsi="Arial" w:hint="eastAsia"/>
          <w:sz w:val="21"/>
          <w:szCs w:val="21"/>
        </w:rPr>
        <w:t>返还或不全部返还不当得利造成其他当事人的利益损失</w:t>
      </w:r>
      <w:r w:rsidR="00B26559">
        <w:rPr>
          <w:rFonts w:ascii="Arial" w:eastAsia="宋体" w:hAnsi="Arial" w:hint="eastAsia"/>
          <w:sz w:val="21"/>
          <w:szCs w:val="21"/>
        </w:rPr>
        <w:t>（</w:t>
      </w:r>
      <w:r w:rsidR="00692F2F" w:rsidRPr="00692F2F">
        <w:rPr>
          <w:rFonts w:ascii="Arial" w:eastAsia="宋体" w:hAnsi="Arial" w:hint="eastAsia"/>
          <w:sz w:val="21"/>
          <w:szCs w:val="21"/>
        </w:rPr>
        <w:t>“受损方”</w:t>
      </w:r>
      <w:r w:rsidR="00B26559">
        <w:rPr>
          <w:rFonts w:ascii="Arial" w:eastAsia="宋体" w:hAnsi="Arial" w:hint="eastAsia"/>
          <w:sz w:val="21"/>
          <w:szCs w:val="21"/>
        </w:rPr>
        <w:t>）</w:t>
      </w:r>
      <w:r w:rsidR="00692F2F" w:rsidRPr="00692F2F">
        <w:rPr>
          <w:rFonts w:ascii="Arial" w:eastAsia="宋体" w:hAnsi="Arial" w:hint="eastAsia"/>
          <w:sz w:val="21"/>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r w:rsidR="008D39EF">
        <w:rPr>
          <w:rFonts w:ascii="Arial" w:eastAsia="宋体" w:hAnsi="Arial" w:hint="eastAsia"/>
          <w:sz w:val="21"/>
          <w:szCs w:val="21"/>
        </w:rPr>
        <w:t>基金</w:t>
      </w:r>
      <w:r>
        <w:rPr>
          <w:rFonts w:ascii="Arial" w:eastAsia="宋体" w:hAnsi="Arial" w:hint="eastAsia"/>
          <w:sz w:val="21"/>
          <w:szCs w:val="21"/>
        </w:rPr>
        <w:t>管理人应确保基金份额数据的真实性、准确性，对于因</w:t>
      </w:r>
      <w:r w:rsidR="008D39EF">
        <w:rPr>
          <w:rFonts w:ascii="Arial" w:eastAsia="宋体" w:hAnsi="Arial" w:hint="eastAsia"/>
          <w:sz w:val="21"/>
          <w:szCs w:val="21"/>
        </w:rPr>
        <w:t>基金</w:t>
      </w:r>
      <w:r>
        <w:rPr>
          <w:rFonts w:ascii="Arial" w:eastAsia="宋体" w:hAnsi="Arial" w:hint="eastAsia"/>
          <w:sz w:val="21"/>
          <w:szCs w:val="21"/>
        </w:rPr>
        <w:t>管理人提供的基金份额数据错误导致基金净值计算错误的，</w:t>
      </w:r>
      <w:r w:rsidR="008D39EF">
        <w:rPr>
          <w:rFonts w:ascii="Arial" w:eastAsia="宋体" w:hAnsi="Arial" w:hint="eastAsia"/>
          <w:sz w:val="21"/>
          <w:szCs w:val="21"/>
        </w:rPr>
        <w:t>基金</w:t>
      </w:r>
      <w:r>
        <w:rPr>
          <w:rFonts w:ascii="Arial" w:eastAsia="宋体" w:hAnsi="Arial" w:hint="eastAsia"/>
          <w:sz w:val="21"/>
          <w:szCs w:val="21"/>
        </w:rPr>
        <w:t>托管人不承担责任。</w:t>
      </w:r>
    </w:p>
    <w:p w14:paraId="19AA0FC3" w14:textId="77E75485" w:rsidR="008247B4" w:rsidRDefault="00CA50F3">
      <w:pPr>
        <w:pStyle w:val="317"/>
        <w:spacing w:before="100" w:beforeAutospacing="1" w:after="100" w:afterAutospacing="1" w:line="400" w:lineRule="exact"/>
        <w:ind w:left="0" w:right="26" w:firstLine="403"/>
        <w:rPr>
          <w:rFonts w:ascii="Arial" w:eastAsia="宋体" w:hAnsi="Arial"/>
          <w:sz w:val="21"/>
          <w:szCs w:val="21"/>
        </w:rPr>
      </w:pPr>
      <w:bookmarkStart w:id="30" w:name="_Hlk196409511"/>
      <w:r>
        <w:rPr>
          <w:rFonts w:ascii="Arial" w:eastAsia="宋体" w:hAnsi="Arial"/>
          <w:sz w:val="21"/>
          <w:szCs w:val="21"/>
        </w:rPr>
        <w:t>7</w:t>
      </w:r>
      <w:r>
        <w:rPr>
          <w:rFonts w:ascii="Arial" w:eastAsia="宋体" w:hAnsi="Arial"/>
          <w:sz w:val="21"/>
          <w:szCs w:val="21"/>
        </w:rPr>
        <w:t>、</w:t>
      </w:r>
      <w:r w:rsidR="00692F2F" w:rsidRPr="00692F2F">
        <w:rPr>
          <w:rFonts w:ascii="Arial" w:eastAsia="宋体" w:hAnsi="Arial" w:hint="eastAsia"/>
          <w:sz w:val="21"/>
          <w:szCs w:val="21"/>
        </w:rPr>
        <w:t>由于不可抗力，或证券交易所、期货交易所、指数编制机构、第三方估值基准服务机构、证券经纪商或登记结算公司发送的数据错误，或国家会计政策变更、市场规则变更等</w:t>
      </w:r>
      <w:proofErr w:type="gramStart"/>
      <w:r w:rsidR="00692F2F" w:rsidRPr="00692F2F">
        <w:rPr>
          <w:rFonts w:ascii="Arial" w:eastAsia="宋体" w:hAnsi="Arial" w:hint="eastAsia"/>
          <w:sz w:val="21"/>
          <w:szCs w:val="21"/>
        </w:rPr>
        <w:t>非基金</w:t>
      </w:r>
      <w:proofErr w:type="gramEnd"/>
      <w:r w:rsidR="00692F2F" w:rsidRPr="00692F2F">
        <w:rPr>
          <w:rFonts w:ascii="Arial" w:eastAsia="宋体" w:hAnsi="Arial" w:hint="eastAsia"/>
          <w:sz w:val="21"/>
          <w:szCs w:val="21"/>
        </w:rPr>
        <w:t>管理人或基金托管人原因，基金管理人和基金托管人虽然已经采取必要、适</w:t>
      </w:r>
      <w:r w:rsidR="00692F2F" w:rsidRPr="00692F2F">
        <w:rPr>
          <w:rFonts w:ascii="Arial" w:eastAsia="宋体" w:hAnsi="Arial" w:hint="eastAsia"/>
          <w:sz w:val="21"/>
          <w:szCs w:val="21"/>
        </w:rPr>
        <w:lastRenderedPageBreak/>
        <w:t>当、合理的措施进行检查，仍未能发现错误</w:t>
      </w:r>
      <w:r w:rsidR="007A1268" w:rsidRPr="007A1268">
        <w:rPr>
          <w:rFonts w:ascii="Arial" w:eastAsia="宋体" w:hAnsi="Arial" w:hint="eastAsia"/>
          <w:sz w:val="21"/>
          <w:szCs w:val="21"/>
        </w:rPr>
        <w:t>或因前述原因未能避免或更正错误</w:t>
      </w:r>
      <w:r w:rsidR="00692F2F" w:rsidRPr="00692F2F">
        <w:rPr>
          <w:rFonts w:ascii="Arial" w:eastAsia="宋体" w:hAnsi="Arial" w:hint="eastAsia"/>
          <w:sz w:val="21"/>
          <w:szCs w:val="21"/>
        </w:rPr>
        <w:t>的，由此造成的基金资产估值错误，基金管理人和基金托管人免除赔偿责任。但基金管</w:t>
      </w:r>
      <w:r w:rsidR="00692F2F">
        <w:rPr>
          <w:rFonts w:ascii="Arial" w:eastAsia="宋体" w:hAnsi="Arial" w:hint="eastAsia"/>
          <w:sz w:val="21"/>
          <w:szCs w:val="21"/>
        </w:rPr>
        <w:t>理人、基金托管人应当积极采取必要的措施减轻或消除由此造成的影响</w:t>
      </w:r>
      <w:r>
        <w:rPr>
          <w:rFonts w:ascii="Arial" w:eastAsia="宋体" w:hAnsi="Arial"/>
          <w:sz w:val="21"/>
          <w:szCs w:val="21"/>
        </w:rPr>
        <w:t>。</w:t>
      </w:r>
      <w:bookmarkEnd w:id="30"/>
    </w:p>
    <w:p w14:paraId="2C2B7379" w14:textId="2044321A"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8</w:t>
      </w:r>
      <w:r>
        <w:rPr>
          <w:rFonts w:ascii="Arial" w:eastAsia="宋体" w:hAnsi="Arial"/>
          <w:sz w:val="21"/>
          <w:szCs w:val="21"/>
        </w:rPr>
        <w:t>、如果基金托管人的复核结果与基金管理人的计算结果存在差异，且双方经协商未能达成一致，基金管理人可以按照其对</w:t>
      </w:r>
      <w:r w:rsidR="00313BAE">
        <w:rPr>
          <w:rFonts w:ascii="Arial" w:eastAsia="宋体" w:hAnsi="Arial" w:hint="eastAsia"/>
          <w:sz w:val="21"/>
          <w:szCs w:val="21"/>
        </w:rPr>
        <w:t>基金净值信息</w:t>
      </w:r>
      <w:r>
        <w:rPr>
          <w:rFonts w:ascii="Arial" w:eastAsia="宋体" w:hAnsi="Arial"/>
          <w:sz w:val="21"/>
          <w:szCs w:val="21"/>
        </w:rPr>
        <w:t>的计算结果对外予以公布，基金托管人可以将相关情况报中国证监会备案。</w:t>
      </w:r>
    </w:p>
    <w:p w14:paraId="19F9B550"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（二）基金会计核算</w:t>
      </w:r>
    </w:p>
    <w:p w14:paraId="1BAD7510"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1</w:t>
      </w:r>
      <w:r>
        <w:rPr>
          <w:rFonts w:ascii="Arial" w:eastAsia="宋体" w:hAnsi="Arial"/>
          <w:sz w:val="21"/>
          <w:szCs w:val="21"/>
        </w:rPr>
        <w:t>、基金账册的建立</w:t>
      </w:r>
    </w:p>
    <w:p w14:paraId="6870A6B9"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44B90516"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2</w:t>
      </w:r>
      <w:r>
        <w:rPr>
          <w:rFonts w:ascii="Arial" w:eastAsia="宋体" w:hAnsi="Arial"/>
          <w:sz w:val="21"/>
          <w:szCs w:val="21"/>
        </w:rPr>
        <w:t>、会计数据和财务指标的核对</w:t>
      </w:r>
    </w:p>
    <w:p w14:paraId="0904FCD4"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基金管理人和基金托管人应定期就会计数据和财务指标进行核对。如发现存在不符，双方应及时查明原因并纠正。</w:t>
      </w:r>
    </w:p>
    <w:p w14:paraId="1F6410B5"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3</w:t>
      </w:r>
      <w:r>
        <w:rPr>
          <w:rFonts w:ascii="Arial" w:eastAsia="宋体" w:hAnsi="Arial"/>
          <w:sz w:val="21"/>
          <w:szCs w:val="21"/>
        </w:rPr>
        <w:t>、基金财务报表和定期报告的编制和复核</w:t>
      </w:r>
    </w:p>
    <w:p w14:paraId="5CE1B25D"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基金财务报表由基金管理人和基金托管人每</w:t>
      </w:r>
      <w:proofErr w:type="gramStart"/>
      <w:r>
        <w:rPr>
          <w:rFonts w:ascii="Arial" w:eastAsia="宋体" w:hAnsi="Arial"/>
          <w:sz w:val="21"/>
          <w:szCs w:val="21"/>
        </w:rPr>
        <w:t>月分别独立</w:t>
      </w:r>
      <w:proofErr w:type="gramEnd"/>
      <w:r>
        <w:rPr>
          <w:rFonts w:ascii="Arial" w:eastAsia="宋体" w:hAnsi="Arial"/>
          <w:sz w:val="21"/>
          <w:szCs w:val="21"/>
        </w:rPr>
        <w:t>编制。月度报表的编制，应于每月终了后</w:t>
      </w:r>
      <w:r>
        <w:rPr>
          <w:rFonts w:ascii="Arial" w:eastAsia="宋体" w:hAnsi="Arial"/>
          <w:sz w:val="21"/>
          <w:szCs w:val="21"/>
        </w:rPr>
        <w:t>5</w:t>
      </w:r>
      <w:r>
        <w:rPr>
          <w:rFonts w:ascii="Arial" w:eastAsia="宋体" w:hAnsi="Arial"/>
          <w:sz w:val="21"/>
          <w:szCs w:val="21"/>
        </w:rPr>
        <w:t>个工作日内完成；在《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98485FB"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基金管理人应当在季度结束之日起</w:t>
      </w:r>
      <w:r>
        <w:rPr>
          <w:rFonts w:ascii="Arial" w:eastAsia="宋体" w:hAnsi="Arial"/>
          <w:sz w:val="21"/>
          <w:szCs w:val="21"/>
        </w:rPr>
        <w:t>15</w:t>
      </w:r>
      <w:r>
        <w:rPr>
          <w:rFonts w:ascii="Arial" w:eastAsia="宋体" w:hAnsi="Arial"/>
          <w:sz w:val="21"/>
          <w:szCs w:val="21"/>
        </w:rPr>
        <w:t>个工作日内，编制完成基金季度报告，将季度报告登载在规定网站上，并将季度报告提示性公告登载在规定报刊上；基金管理人应当在上半年结束之日起两个月内，编制完成基金中期报告，将中期报告登载在规定网站上，并将中期报告提示性公告登载在规定报刊上；基金管理人应当在每年结束之日起三个月内，编制完成基金年度报告，将年度报告登载在规定网站上，并将年度报告提示性公告登载在规定报刊上。《基金合同》生效不足两个月的，基金管理人可以不编制当期季度报告、中期报告或者年度报告。</w:t>
      </w:r>
    </w:p>
    <w:p w14:paraId="4C14D31D"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lastRenderedPageBreak/>
        <w:t>基金管理人应及时完成报表编制，将有关报表提供给基金托管人复核，基金托管人在收到后应及时进行复核，并将复核结果书面通知基金管理人；基金管理人应留足充分的时间，便于基金托管人复核相关报表及报告。</w:t>
      </w:r>
    </w:p>
    <w:p w14:paraId="55F3CCB6"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w:t>
      </w:r>
      <w:proofErr w:type="gramStart"/>
      <w:r>
        <w:rPr>
          <w:rFonts w:ascii="Arial" w:eastAsia="宋体" w:hAnsi="Arial"/>
          <w:sz w:val="21"/>
          <w:szCs w:val="21"/>
        </w:rPr>
        <w:t>于应当</w:t>
      </w:r>
      <w:proofErr w:type="gramEnd"/>
      <w:r>
        <w:rPr>
          <w:rFonts w:ascii="Arial" w:eastAsia="宋体" w:hAnsi="Arial"/>
          <w:sz w:val="21"/>
          <w:szCs w:val="21"/>
        </w:rPr>
        <w:t>发布公告之日之前就相关报表达成一致，基金管理人有权按照其编制的报表对外发布公告，基金托管人有权就相关情况报中国证监会备案。</w:t>
      </w:r>
      <w:bookmarkEnd w:id="29"/>
    </w:p>
    <w:p w14:paraId="05013F68" w14:textId="77777777" w:rsidR="008247B4" w:rsidRDefault="008247B4">
      <w:pPr>
        <w:pStyle w:val="317"/>
        <w:spacing w:before="100" w:beforeAutospacing="1" w:after="100" w:afterAutospacing="1" w:line="400" w:lineRule="exact"/>
        <w:ind w:left="0" w:right="26" w:firstLine="403"/>
        <w:rPr>
          <w:rFonts w:ascii="Arial" w:eastAsia="宋体" w:hAnsi="Arial"/>
          <w:sz w:val="21"/>
          <w:szCs w:val="21"/>
        </w:rPr>
      </w:pPr>
    </w:p>
    <w:p w14:paraId="1BEA31BB" w14:textId="77777777" w:rsidR="008247B4" w:rsidRDefault="00CA50F3">
      <w:pPr>
        <w:pStyle w:val="116"/>
        <w:spacing w:before="100" w:beforeAutospacing="1" w:after="100" w:afterAutospacing="1" w:line="400" w:lineRule="exact"/>
        <w:ind w:firstLine="422"/>
        <w:rPr>
          <w:rFonts w:ascii="Arial" w:hAnsi="Arial"/>
          <w:sz w:val="21"/>
          <w:szCs w:val="21"/>
        </w:rPr>
      </w:pPr>
      <w:bookmarkStart w:id="31" w:name="_Toc116900104"/>
      <w:bookmarkStart w:id="32" w:name="_Toc202171870"/>
      <w:r>
        <w:rPr>
          <w:rFonts w:ascii="Arial" w:hAnsi="Arial"/>
          <w:sz w:val="21"/>
          <w:szCs w:val="21"/>
        </w:rPr>
        <w:t>九、基金收益分配</w:t>
      </w:r>
      <w:bookmarkEnd w:id="31"/>
      <w:bookmarkEnd w:id="32"/>
    </w:p>
    <w:p w14:paraId="02828836"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（一）基金收益分配的依据</w:t>
      </w:r>
    </w:p>
    <w:p w14:paraId="64B038B6"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收益分配应该符合《基金合同》关于收益分配原则的规定。</w:t>
      </w:r>
    </w:p>
    <w:p w14:paraId="577C87B1"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（二）基金收益分配的时间和程序</w:t>
      </w:r>
    </w:p>
    <w:p w14:paraId="5F6E7F85"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1</w:t>
      </w:r>
      <w:r>
        <w:rPr>
          <w:rFonts w:ascii="Arial" w:eastAsia="宋体" w:hAnsi="Arial"/>
          <w:sz w:val="21"/>
          <w:szCs w:val="21"/>
        </w:rPr>
        <w:t>、基金收益分配方案由基金管理人根据《基金合同》的相关规定制定。</w:t>
      </w:r>
    </w:p>
    <w:p w14:paraId="2D1EF293" w14:textId="62A41898"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2</w:t>
      </w:r>
      <w:r>
        <w:rPr>
          <w:rFonts w:ascii="Arial" w:eastAsia="宋体" w:hAnsi="Arial"/>
          <w:sz w:val="21"/>
          <w:szCs w:val="21"/>
        </w:rPr>
        <w:t>、基金管理人应于收益</w:t>
      </w:r>
      <w:proofErr w:type="gramStart"/>
      <w:r>
        <w:rPr>
          <w:rFonts w:ascii="Arial" w:eastAsia="宋体" w:hAnsi="Arial"/>
          <w:sz w:val="21"/>
          <w:szCs w:val="21"/>
        </w:rPr>
        <w:t>分配日</w:t>
      </w:r>
      <w:proofErr w:type="gramEnd"/>
      <w:r>
        <w:rPr>
          <w:rFonts w:ascii="Arial" w:eastAsia="宋体" w:hAnsi="Arial"/>
          <w:sz w:val="21"/>
          <w:szCs w:val="21"/>
        </w:rPr>
        <w:t>之前将其制定的收益分配方案提交基金托管人复核，基金托管人应于收到收益分配方案后完成对收益分配方案的复核，复核通过后基金管理人应当将收益分配方案及时公告；如果基金管理人与基金托管人不能于收益</w:t>
      </w:r>
      <w:proofErr w:type="gramStart"/>
      <w:r>
        <w:rPr>
          <w:rFonts w:ascii="Arial" w:eastAsia="宋体" w:hAnsi="Arial"/>
          <w:sz w:val="21"/>
          <w:szCs w:val="21"/>
        </w:rPr>
        <w:t>分配日</w:t>
      </w:r>
      <w:proofErr w:type="gramEnd"/>
      <w:r>
        <w:rPr>
          <w:rFonts w:ascii="Arial" w:eastAsia="宋体" w:hAnsi="Arial"/>
          <w:sz w:val="21"/>
          <w:szCs w:val="21"/>
        </w:rPr>
        <w:t>之前就收益分配方案达成一致，基金托管人有义务将收益分配方案及相关情况的说明提交中国证监会备案并书面通知基金管理人，在上述文件提交完毕之日</w:t>
      </w:r>
      <w:proofErr w:type="gramStart"/>
      <w:r>
        <w:rPr>
          <w:rFonts w:ascii="Arial" w:eastAsia="宋体" w:hAnsi="Arial"/>
          <w:sz w:val="21"/>
          <w:szCs w:val="21"/>
        </w:rPr>
        <w:t>起基金</w:t>
      </w:r>
      <w:proofErr w:type="gramEnd"/>
      <w:r>
        <w:rPr>
          <w:rFonts w:ascii="Arial" w:eastAsia="宋体" w:hAnsi="Arial"/>
          <w:sz w:val="21"/>
          <w:szCs w:val="21"/>
        </w:rPr>
        <w:t>管理人有权利对外公告其拟</w:t>
      </w:r>
      <w:r>
        <w:rPr>
          <w:rFonts w:ascii="Arial" w:eastAsia="宋体" w:hAnsi="Arial" w:hint="eastAsia"/>
          <w:sz w:val="21"/>
          <w:szCs w:val="21"/>
        </w:rPr>
        <w:t>定</w:t>
      </w:r>
      <w:r>
        <w:rPr>
          <w:rFonts w:ascii="Arial" w:eastAsia="宋体" w:hAnsi="Arial"/>
          <w:sz w:val="21"/>
          <w:szCs w:val="21"/>
        </w:rPr>
        <w:t>的收益分配方案，</w:t>
      </w:r>
      <w:proofErr w:type="gramStart"/>
      <w:r>
        <w:rPr>
          <w:rFonts w:ascii="Arial" w:eastAsia="宋体" w:hAnsi="Arial"/>
          <w:sz w:val="21"/>
          <w:szCs w:val="21"/>
        </w:rPr>
        <w:t>且基金</w:t>
      </w:r>
      <w:proofErr w:type="gramEnd"/>
      <w:r>
        <w:rPr>
          <w:rFonts w:ascii="Arial" w:eastAsia="宋体" w:hAnsi="Arial"/>
          <w:sz w:val="21"/>
          <w:szCs w:val="21"/>
        </w:rPr>
        <w:t>托管人有义务协助基金管理人实施该收益分配方案，但有证据证明该方案违反法律法规及《基金合同》的除外。</w:t>
      </w:r>
    </w:p>
    <w:p w14:paraId="174CC267" w14:textId="30CCD3DF"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3</w:t>
      </w:r>
      <w:r>
        <w:rPr>
          <w:rFonts w:ascii="Arial" w:eastAsia="宋体" w:hAnsi="Arial"/>
          <w:sz w:val="21"/>
          <w:szCs w:val="21"/>
        </w:rPr>
        <w:t>、本基金收益分配</w:t>
      </w:r>
      <w:r w:rsidR="007150CE">
        <w:rPr>
          <w:rFonts w:ascii="Arial" w:eastAsia="宋体" w:hAnsi="Arial" w:hint="eastAsia"/>
          <w:sz w:val="21"/>
          <w:szCs w:val="21"/>
        </w:rPr>
        <w:t>采取现金方式</w:t>
      </w:r>
      <w:r>
        <w:rPr>
          <w:rFonts w:ascii="Arial" w:eastAsia="宋体" w:hAnsi="Arial"/>
          <w:sz w:val="21"/>
          <w:szCs w:val="21"/>
        </w:rPr>
        <w:t>。</w:t>
      </w:r>
    </w:p>
    <w:p w14:paraId="3062ABF6" w14:textId="77777777" w:rsidR="008247B4" w:rsidRDefault="00CA50F3">
      <w:pPr>
        <w:pStyle w:val="317"/>
        <w:spacing w:before="100" w:beforeAutospacing="1" w:after="100" w:afterAutospacing="1" w:line="400" w:lineRule="exact"/>
        <w:ind w:left="0" w:right="26" w:firstLine="403"/>
        <w:rPr>
          <w:rFonts w:ascii="Arial" w:eastAsia="宋体" w:hAnsi="Arial"/>
          <w:sz w:val="21"/>
          <w:szCs w:val="21"/>
        </w:rPr>
      </w:pPr>
      <w:r>
        <w:rPr>
          <w:rFonts w:ascii="Arial" w:eastAsia="宋体" w:hAnsi="Arial"/>
          <w:sz w:val="21"/>
          <w:szCs w:val="21"/>
        </w:rPr>
        <w:t>4</w:t>
      </w:r>
      <w:r>
        <w:rPr>
          <w:rFonts w:ascii="Arial" w:eastAsia="宋体" w:hAnsi="Arial"/>
          <w:sz w:val="21"/>
          <w:szCs w:val="21"/>
        </w:rPr>
        <w:t>、基金托管人根据基金管理人的收益分配方案和提供的现金红利金额的数据，在红利发放日将分红资金划入基金管理人指定账户。</w:t>
      </w:r>
    </w:p>
    <w:p w14:paraId="546BC8A5" w14:textId="77777777" w:rsidR="008247B4" w:rsidRDefault="008247B4">
      <w:pPr>
        <w:pStyle w:val="317"/>
        <w:spacing w:before="100" w:beforeAutospacing="1" w:after="100" w:afterAutospacing="1" w:line="400" w:lineRule="exact"/>
        <w:ind w:left="0" w:right="26" w:firstLine="403"/>
        <w:rPr>
          <w:rFonts w:ascii="Arial" w:eastAsia="宋体" w:hAnsi="Arial"/>
          <w:sz w:val="21"/>
          <w:szCs w:val="21"/>
        </w:rPr>
      </w:pPr>
    </w:p>
    <w:p w14:paraId="45FD3855" w14:textId="77777777" w:rsidR="008247B4" w:rsidRDefault="00CA50F3">
      <w:pPr>
        <w:pStyle w:val="116"/>
        <w:spacing w:before="100" w:beforeAutospacing="1" w:after="100" w:afterAutospacing="1" w:line="400" w:lineRule="exact"/>
        <w:ind w:firstLine="422"/>
        <w:rPr>
          <w:rFonts w:ascii="Arial" w:hAnsi="Arial"/>
          <w:sz w:val="21"/>
          <w:szCs w:val="21"/>
        </w:rPr>
      </w:pPr>
      <w:bookmarkStart w:id="33" w:name="_Toc116900105"/>
      <w:bookmarkStart w:id="34" w:name="_Toc202171871"/>
      <w:r>
        <w:rPr>
          <w:rFonts w:ascii="Arial" w:hAnsi="Arial"/>
          <w:sz w:val="21"/>
          <w:szCs w:val="21"/>
        </w:rPr>
        <w:lastRenderedPageBreak/>
        <w:t>十、基金信息披露</w:t>
      </w:r>
      <w:bookmarkEnd w:id="33"/>
      <w:bookmarkEnd w:id="34"/>
    </w:p>
    <w:p w14:paraId="1E66FF48"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（一）保密义务</w:t>
      </w:r>
    </w:p>
    <w:p w14:paraId="705C1DEF"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和基金托管人除为履行法律法规、《基金合同》及本协议规定的义务所必要之外，不得为其他目的使用、利用其所知悉的基金的信息，并且应当将基金的信息限制在为履行前述义务而需要了解该信息的职员范围之内。但是，如下情况不应视为基金管理人或基金托管人违反保密义务：</w:t>
      </w:r>
    </w:p>
    <w:p w14:paraId="18F53D2F"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、非因基金管理人和基金托管人的原因导致保密信息被披露、泄露或公开；</w:t>
      </w:r>
    </w:p>
    <w:p w14:paraId="1338E228"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2</w:t>
      </w:r>
      <w:r>
        <w:rPr>
          <w:rFonts w:ascii="Arial" w:eastAsia="宋体" w:hAnsi="Arial"/>
          <w:color w:val="auto"/>
          <w:sz w:val="21"/>
          <w:szCs w:val="21"/>
        </w:rPr>
        <w:t>、基金管理人和基金托管人为遵守和服从法院判决</w:t>
      </w:r>
      <w:r>
        <w:rPr>
          <w:rFonts w:ascii="Arial" w:eastAsia="宋体" w:hAnsi="Arial" w:hint="eastAsia"/>
          <w:color w:val="auto"/>
          <w:sz w:val="21"/>
          <w:szCs w:val="21"/>
        </w:rPr>
        <w:t>或裁定</w:t>
      </w:r>
      <w:r>
        <w:rPr>
          <w:rFonts w:ascii="Arial" w:eastAsia="宋体" w:hAnsi="Arial"/>
          <w:color w:val="auto"/>
          <w:sz w:val="21"/>
          <w:szCs w:val="21"/>
        </w:rPr>
        <w:t>、仲裁裁决或中国证监会等监管机构的命令、决定所做出的信息披露或公开</w:t>
      </w:r>
      <w:r>
        <w:rPr>
          <w:rFonts w:ascii="Arial" w:eastAsia="宋体" w:hAnsi="Arial" w:hint="eastAsia"/>
          <w:color w:val="auto"/>
          <w:sz w:val="21"/>
          <w:szCs w:val="21"/>
        </w:rPr>
        <w:t>；</w:t>
      </w:r>
    </w:p>
    <w:p w14:paraId="0848E736"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hint="eastAsia"/>
          <w:color w:val="auto"/>
          <w:sz w:val="21"/>
          <w:szCs w:val="21"/>
        </w:rPr>
        <w:t>3</w:t>
      </w:r>
      <w:r>
        <w:rPr>
          <w:rFonts w:ascii="Arial" w:eastAsia="宋体" w:hAnsi="Arial" w:hint="eastAsia"/>
          <w:color w:val="auto"/>
          <w:sz w:val="21"/>
          <w:szCs w:val="21"/>
        </w:rPr>
        <w:t>、基金管理人和基金托管人在要求保密的前提下对自身聘请的外部法律顾问、财务顾问、审计人员、技术顾问等做出的必要信息披露。</w:t>
      </w:r>
    </w:p>
    <w:p w14:paraId="6FDAAB73"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（二）基金管理人和基金托管人在信息披露中的职责和信息披露程序</w:t>
      </w:r>
    </w:p>
    <w:p w14:paraId="32F05AC2"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、基金管理人和基金托管人应根据相关法律法规、《基金合同》的规定各自承担相应的信息披露职责。</w:t>
      </w:r>
    </w:p>
    <w:p w14:paraId="1CFA3D39" w14:textId="3939A42B" w:rsidR="00232B97"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2</w:t>
      </w:r>
      <w:r>
        <w:rPr>
          <w:rFonts w:ascii="Arial" w:eastAsia="宋体" w:hAnsi="Arial"/>
          <w:color w:val="auto"/>
          <w:sz w:val="21"/>
          <w:szCs w:val="21"/>
        </w:rPr>
        <w:t>、本基金信息披露的所有文件，包括《基金合同》和本协议规定的基金招募说明书、基金合同、</w:t>
      </w:r>
      <w:r w:rsidR="007150CE">
        <w:rPr>
          <w:rFonts w:ascii="Arial" w:eastAsia="宋体" w:hAnsi="Arial" w:hint="eastAsia"/>
          <w:color w:val="auto"/>
          <w:sz w:val="21"/>
          <w:szCs w:val="21"/>
        </w:rPr>
        <w:t>基金</w:t>
      </w:r>
      <w:r>
        <w:rPr>
          <w:rFonts w:ascii="Arial" w:eastAsia="宋体" w:hAnsi="Arial"/>
          <w:color w:val="auto"/>
          <w:sz w:val="21"/>
          <w:szCs w:val="21"/>
        </w:rPr>
        <w:t>托管协议、基金产品资料概要、基金份额发售公告、基金合同生效公告、基金净值信息、</w:t>
      </w:r>
      <w:r w:rsidR="007150CE">
        <w:rPr>
          <w:rFonts w:ascii="Arial" w:eastAsia="宋体" w:hAnsi="Arial" w:hint="eastAsia"/>
          <w:color w:val="auto"/>
          <w:sz w:val="21"/>
          <w:szCs w:val="21"/>
        </w:rPr>
        <w:t>申购赎回清单、基金份额上市交易公告书、</w:t>
      </w:r>
      <w:r>
        <w:rPr>
          <w:rFonts w:ascii="Arial" w:eastAsia="宋体" w:hAnsi="Arial"/>
          <w:color w:val="auto"/>
          <w:sz w:val="21"/>
          <w:szCs w:val="21"/>
        </w:rPr>
        <w:t>基金份额申购、赎回</w:t>
      </w:r>
      <w:r w:rsidR="0045180F">
        <w:rPr>
          <w:rFonts w:ascii="Arial" w:eastAsia="宋体" w:hAnsi="Arial" w:hint="eastAsia"/>
          <w:color w:val="auto"/>
          <w:sz w:val="21"/>
          <w:szCs w:val="21"/>
        </w:rPr>
        <w:t>对价</w:t>
      </w:r>
      <w:r>
        <w:rPr>
          <w:rFonts w:ascii="Arial" w:eastAsia="宋体" w:hAnsi="Arial"/>
          <w:color w:val="auto"/>
          <w:sz w:val="21"/>
          <w:szCs w:val="21"/>
        </w:rPr>
        <w:t>、</w:t>
      </w:r>
      <w:r w:rsidR="0045180F">
        <w:rPr>
          <w:rFonts w:ascii="Arial" w:eastAsia="宋体" w:hAnsi="Arial" w:hint="eastAsia"/>
          <w:color w:val="auto"/>
          <w:sz w:val="21"/>
          <w:szCs w:val="21"/>
        </w:rPr>
        <w:t>基金份额折算日公告、基金份额折算结果公告、基金</w:t>
      </w:r>
      <w:r>
        <w:rPr>
          <w:rFonts w:ascii="Arial" w:eastAsia="宋体" w:hAnsi="Arial"/>
          <w:color w:val="auto"/>
          <w:sz w:val="21"/>
          <w:szCs w:val="21"/>
        </w:rPr>
        <w:t>定期报告、临时报告、澄清公告、基金份额持有人大会决议、清算报告</w:t>
      </w:r>
      <w:r w:rsidR="0045180F">
        <w:rPr>
          <w:rFonts w:ascii="Arial" w:eastAsia="宋体" w:hAnsi="Arial" w:hint="eastAsia"/>
          <w:color w:val="auto"/>
          <w:sz w:val="21"/>
          <w:szCs w:val="21"/>
        </w:rPr>
        <w:t>、港股通标的股票的投资情况、</w:t>
      </w:r>
      <w:r>
        <w:rPr>
          <w:rFonts w:ascii="Arial" w:eastAsia="宋体" w:hAnsi="Arial" w:hint="eastAsia"/>
          <w:color w:val="auto"/>
          <w:sz w:val="21"/>
          <w:szCs w:val="21"/>
        </w:rPr>
        <w:t>中国证监会规定应予公开披露的其他信息</w:t>
      </w:r>
      <w:r>
        <w:rPr>
          <w:rFonts w:ascii="Arial" w:eastAsia="宋体" w:hAnsi="Arial"/>
          <w:color w:val="auto"/>
          <w:sz w:val="21"/>
          <w:szCs w:val="21"/>
        </w:rPr>
        <w:t>，由基金管理人和基金托管人按照有关法律法规的规定予以公布。</w:t>
      </w:r>
    </w:p>
    <w:p w14:paraId="45290D47" w14:textId="7656A856"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3</w:t>
      </w:r>
      <w:r>
        <w:rPr>
          <w:rFonts w:ascii="Arial" w:eastAsia="宋体" w:hAnsi="Arial"/>
          <w:color w:val="auto"/>
          <w:sz w:val="21"/>
          <w:szCs w:val="21"/>
        </w:rPr>
        <w:t>、</w:t>
      </w:r>
      <w:r>
        <w:rPr>
          <w:rFonts w:ascii="Arial" w:eastAsia="宋体" w:hAnsi="Arial" w:hint="eastAsia"/>
          <w:color w:val="auto"/>
          <w:sz w:val="21"/>
          <w:szCs w:val="21"/>
        </w:rPr>
        <w:t>基金托管人应当按照相关法律、行政法规、中国证监会的规定和《基金合同》的约定，对基金管理人编制的基金净值信息、基金业绩表现数据</w:t>
      </w:r>
      <w:r w:rsidR="0045180F">
        <w:rPr>
          <w:rFonts w:ascii="Arial" w:eastAsia="宋体" w:hAnsi="Arial" w:hint="eastAsia"/>
          <w:color w:val="auto"/>
          <w:sz w:val="21"/>
          <w:szCs w:val="21"/>
        </w:rPr>
        <w:t>、</w:t>
      </w:r>
      <w:r w:rsidR="0045180F" w:rsidRPr="0045180F">
        <w:rPr>
          <w:rFonts w:ascii="Arial" w:eastAsia="宋体" w:hAnsi="Arial" w:hint="eastAsia"/>
          <w:color w:val="auto"/>
          <w:sz w:val="21"/>
          <w:szCs w:val="21"/>
        </w:rPr>
        <w:t>基金申购赎回对价的现金部分、基金定期报告、更新的招募说明书、基金产品资料概要、基金清算报告</w:t>
      </w:r>
      <w:r>
        <w:rPr>
          <w:rFonts w:ascii="Arial" w:eastAsia="宋体" w:hAnsi="Arial" w:hint="eastAsia"/>
          <w:color w:val="auto"/>
          <w:sz w:val="21"/>
          <w:szCs w:val="21"/>
        </w:rPr>
        <w:t>等披露的相关基金信息进行复核、审查，并向基金管理人进行书面或电子确认。</w:t>
      </w:r>
    </w:p>
    <w:p w14:paraId="52EF29E5"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基金年度报告中的财务会计报告必须</w:t>
      </w:r>
      <w:proofErr w:type="gramStart"/>
      <w:r>
        <w:rPr>
          <w:rFonts w:ascii="Arial" w:eastAsia="宋体" w:hAnsi="Arial"/>
          <w:color w:val="auto"/>
          <w:sz w:val="21"/>
          <w:szCs w:val="21"/>
        </w:rPr>
        <w:t>经符合</w:t>
      </w:r>
      <w:proofErr w:type="gramEnd"/>
      <w:r>
        <w:rPr>
          <w:rFonts w:ascii="Arial" w:eastAsia="宋体" w:hAnsi="Arial"/>
          <w:color w:val="auto"/>
          <w:sz w:val="21"/>
          <w:szCs w:val="21"/>
        </w:rPr>
        <w:t>《证券法》规定的会计师事务所审计。</w:t>
      </w:r>
    </w:p>
    <w:p w14:paraId="3C270C82" w14:textId="5A61F39A"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4</w:t>
      </w:r>
      <w:r>
        <w:rPr>
          <w:rFonts w:ascii="Arial" w:eastAsia="宋体" w:hAnsi="Arial"/>
          <w:color w:val="auto"/>
          <w:sz w:val="21"/>
          <w:szCs w:val="21"/>
        </w:rPr>
        <w:t>、本基金的信息披露，应通过规定媒介进行；基金管理人、基金托管人</w:t>
      </w:r>
      <w:r w:rsidR="0045180F">
        <w:rPr>
          <w:rFonts w:ascii="Arial" w:eastAsia="宋体" w:hAnsi="Arial" w:hint="eastAsia"/>
          <w:color w:val="auto"/>
          <w:sz w:val="21"/>
          <w:szCs w:val="21"/>
        </w:rPr>
        <w:t>还</w:t>
      </w:r>
      <w:r>
        <w:rPr>
          <w:rFonts w:ascii="Arial" w:eastAsia="宋体" w:hAnsi="Arial"/>
          <w:color w:val="auto"/>
          <w:sz w:val="21"/>
          <w:szCs w:val="21"/>
        </w:rPr>
        <w:t>可以根据需要在其他公共媒介披露信息，但是其他公共媒介不得早于规定媒介</w:t>
      </w:r>
      <w:r w:rsidR="0045180F">
        <w:rPr>
          <w:rFonts w:ascii="Arial" w:eastAsia="宋体" w:hAnsi="Arial" w:hint="eastAsia"/>
          <w:color w:val="auto"/>
          <w:sz w:val="21"/>
          <w:szCs w:val="21"/>
        </w:rPr>
        <w:t>、基金上市交易的证券</w:t>
      </w:r>
      <w:r w:rsidR="0045180F">
        <w:rPr>
          <w:rFonts w:ascii="Arial" w:eastAsia="宋体" w:hAnsi="Arial" w:hint="eastAsia"/>
          <w:color w:val="auto"/>
          <w:sz w:val="21"/>
          <w:szCs w:val="21"/>
        </w:rPr>
        <w:lastRenderedPageBreak/>
        <w:t>交易所网站</w:t>
      </w:r>
      <w:r>
        <w:rPr>
          <w:rFonts w:ascii="Arial" w:eastAsia="宋体" w:hAnsi="Arial"/>
          <w:color w:val="auto"/>
          <w:sz w:val="21"/>
          <w:szCs w:val="21"/>
        </w:rPr>
        <w:t>披露信息，并且在不同媒介上披露同一信息的内容应当一致。</w:t>
      </w:r>
    </w:p>
    <w:p w14:paraId="4117BAA8"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5</w:t>
      </w:r>
      <w:r>
        <w:rPr>
          <w:rFonts w:ascii="Arial" w:eastAsia="宋体" w:hAnsi="Arial"/>
          <w:color w:val="auto"/>
          <w:sz w:val="21"/>
          <w:szCs w:val="21"/>
        </w:rPr>
        <w:t>、信息文本的存放与备查</w:t>
      </w:r>
    </w:p>
    <w:p w14:paraId="46609A4B" w14:textId="53A6AA65"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依法必须披露的信息发布后，基金管理人、基金托管人应当按照相关法律法规规定将信息置备于</w:t>
      </w:r>
      <w:r>
        <w:rPr>
          <w:rFonts w:ascii="Arial" w:eastAsia="宋体" w:hAnsi="Arial" w:hint="eastAsia"/>
          <w:color w:val="auto"/>
          <w:sz w:val="21"/>
          <w:szCs w:val="21"/>
        </w:rPr>
        <w:t>公司</w:t>
      </w:r>
      <w:r>
        <w:rPr>
          <w:rFonts w:ascii="Arial" w:eastAsia="宋体" w:hAnsi="Arial"/>
          <w:color w:val="auto"/>
          <w:sz w:val="21"/>
          <w:szCs w:val="21"/>
        </w:rPr>
        <w:t>住所</w:t>
      </w:r>
      <w:r w:rsidR="0045180F">
        <w:rPr>
          <w:rFonts w:ascii="Arial" w:eastAsia="宋体" w:hAnsi="Arial" w:hint="eastAsia"/>
          <w:color w:val="auto"/>
          <w:sz w:val="21"/>
          <w:szCs w:val="21"/>
        </w:rPr>
        <w:t>、基金上市交易的证券交易所</w:t>
      </w:r>
      <w:r>
        <w:rPr>
          <w:rFonts w:ascii="Arial" w:eastAsia="宋体" w:hAnsi="Arial"/>
          <w:color w:val="auto"/>
          <w:sz w:val="21"/>
          <w:szCs w:val="21"/>
        </w:rPr>
        <w:t>，供社会公众查阅、复制。基金管理人、基金托管人应为文本存放、基金份额持有人查询有关文件提供必要的场所和其他便利。</w:t>
      </w:r>
    </w:p>
    <w:p w14:paraId="030C123B"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基金管理人和基金托管人应保证文本的内容与所公告的内容完全一致。</w:t>
      </w:r>
    </w:p>
    <w:p w14:paraId="5FF563CF" w14:textId="7D95CEA6"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6</w:t>
      </w:r>
      <w:r>
        <w:rPr>
          <w:rFonts w:ascii="Arial" w:hAnsi="Arial"/>
          <w:szCs w:val="21"/>
        </w:rPr>
        <w:t>、对于因不可抗力等原因导致基金信息的暂停或延迟披露的（如暂停披露基金净值信息），基金管理人应及时向中国证监会报告，并与基金托管人协商采取补救措施。不可抗力等情形消失后，基金管理人和基金托管人应及时恢复办理信息披露。</w:t>
      </w:r>
    </w:p>
    <w:p w14:paraId="6402E8C3" w14:textId="77777777" w:rsidR="008247B4" w:rsidRDefault="00CA50F3">
      <w:pPr>
        <w:pStyle w:val="1f"/>
        <w:spacing w:before="100" w:beforeAutospacing="1" w:after="100" w:afterAutospacing="1"/>
        <w:ind w:firstLine="420"/>
        <w:rPr>
          <w:rFonts w:ascii="Arial" w:eastAsia="宋体" w:hAnsi="Arial"/>
          <w:color w:val="auto"/>
          <w:sz w:val="21"/>
          <w:szCs w:val="21"/>
        </w:rPr>
      </w:pPr>
      <w:r>
        <w:rPr>
          <w:rFonts w:ascii="Arial" w:eastAsia="宋体" w:hAnsi="Arial"/>
          <w:color w:val="auto"/>
          <w:sz w:val="21"/>
          <w:szCs w:val="21"/>
        </w:rPr>
        <w:t>（三）基金托管人报告</w:t>
      </w:r>
    </w:p>
    <w:p w14:paraId="5EA87580" w14:textId="77777777" w:rsidR="008247B4" w:rsidRDefault="00CA50F3">
      <w:pPr>
        <w:pStyle w:val="1f"/>
        <w:spacing w:before="100" w:beforeAutospacing="1" w:after="100" w:afterAutospacing="1"/>
        <w:ind w:firstLine="420"/>
        <w:rPr>
          <w:rFonts w:ascii="Arial" w:eastAsia="宋体" w:hAnsi="Arial"/>
          <w:color w:val="auto"/>
          <w:sz w:val="21"/>
          <w:szCs w:val="21"/>
        </w:rPr>
      </w:pPr>
      <w:r>
        <w:rPr>
          <w:rFonts w:ascii="Arial" w:eastAsia="宋体" w:hAnsi="Arial"/>
          <w:color w:val="auto"/>
          <w:sz w:val="21"/>
          <w:szCs w:val="21"/>
        </w:rPr>
        <w:t>基金托管人应按《基金法》、《运作办法》、《信息披露办法》和其他有关法律法规的规定于每个上半年度结束后两个月内、每个会计年度结束后三个月</w:t>
      </w:r>
      <w:proofErr w:type="gramStart"/>
      <w:r>
        <w:rPr>
          <w:rFonts w:ascii="Arial" w:eastAsia="宋体" w:hAnsi="Arial"/>
          <w:color w:val="auto"/>
          <w:sz w:val="21"/>
          <w:szCs w:val="21"/>
        </w:rPr>
        <w:t>内在基金</w:t>
      </w:r>
      <w:proofErr w:type="gramEnd"/>
      <w:r>
        <w:rPr>
          <w:rFonts w:ascii="Arial" w:eastAsia="宋体" w:hAnsi="Arial"/>
          <w:color w:val="auto"/>
          <w:sz w:val="21"/>
          <w:szCs w:val="21"/>
        </w:rPr>
        <w:t>中期报告及年度报告中分别出具托管人报告。</w:t>
      </w:r>
    </w:p>
    <w:p w14:paraId="7FB0A895" w14:textId="77777777" w:rsidR="008247B4" w:rsidRDefault="008247B4">
      <w:pPr>
        <w:pStyle w:val="1f"/>
        <w:spacing w:before="100" w:beforeAutospacing="1" w:after="100" w:afterAutospacing="1"/>
        <w:ind w:firstLine="403"/>
        <w:rPr>
          <w:rFonts w:ascii="Arial" w:eastAsia="宋体" w:hAnsi="Arial"/>
          <w:color w:val="auto"/>
          <w:sz w:val="21"/>
          <w:szCs w:val="21"/>
        </w:rPr>
      </w:pPr>
    </w:p>
    <w:p w14:paraId="37404A59" w14:textId="77777777" w:rsidR="008247B4" w:rsidRDefault="00CA50F3">
      <w:pPr>
        <w:pStyle w:val="116"/>
        <w:spacing w:before="100" w:beforeAutospacing="1" w:after="100" w:afterAutospacing="1" w:line="400" w:lineRule="exact"/>
        <w:ind w:firstLine="422"/>
        <w:rPr>
          <w:rFonts w:ascii="Arial" w:hAnsi="Arial"/>
          <w:sz w:val="21"/>
          <w:szCs w:val="21"/>
        </w:rPr>
      </w:pPr>
      <w:bookmarkStart w:id="35" w:name="_Toc202171872"/>
      <w:bookmarkStart w:id="36" w:name="_Toc116900106"/>
      <w:r>
        <w:rPr>
          <w:rFonts w:ascii="Arial" w:hAnsi="Arial"/>
          <w:sz w:val="21"/>
          <w:szCs w:val="21"/>
        </w:rPr>
        <w:t>十一、基金费用</w:t>
      </w:r>
      <w:bookmarkEnd w:id="35"/>
    </w:p>
    <w:p w14:paraId="387119AA" w14:textId="77777777" w:rsidR="008247B4" w:rsidRDefault="00CA50F3">
      <w:pPr>
        <w:pStyle w:val="15"/>
        <w:spacing w:before="100" w:beforeAutospacing="1" w:after="100" w:afterAutospacing="1" w:line="400" w:lineRule="exact"/>
        <w:ind w:right="26" w:firstLine="403"/>
        <w:rPr>
          <w:rFonts w:ascii="Arial" w:hAnsi="Arial"/>
          <w:szCs w:val="21"/>
        </w:rPr>
      </w:pPr>
      <w:bookmarkStart w:id="37" w:name="_Hlk31882608"/>
      <w:r>
        <w:rPr>
          <w:rFonts w:ascii="Arial" w:hAnsi="Arial"/>
          <w:szCs w:val="21"/>
        </w:rPr>
        <w:t>（一）基金管理人的管理费</w:t>
      </w:r>
    </w:p>
    <w:p w14:paraId="753C3A61" w14:textId="2ABB649F"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基金管理费</w:t>
      </w:r>
      <w:r>
        <w:rPr>
          <w:rFonts w:ascii="Arial" w:hAnsi="Arial" w:hint="eastAsia"/>
          <w:szCs w:val="21"/>
        </w:rPr>
        <w:t>按照《基金合同》的约定计提和支付。</w:t>
      </w:r>
    </w:p>
    <w:p w14:paraId="22989DFE"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（二）基金托管人的托管费</w:t>
      </w:r>
    </w:p>
    <w:p w14:paraId="656F1C9E" w14:textId="77777777" w:rsidR="009A56BD" w:rsidRPr="009A56BD" w:rsidRDefault="009A56BD" w:rsidP="009A56BD">
      <w:pPr>
        <w:pStyle w:val="1f"/>
        <w:spacing w:before="100" w:beforeAutospacing="1" w:after="100" w:afterAutospacing="1"/>
        <w:ind w:firstLine="403"/>
        <w:rPr>
          <w:rFonts w:ascii="Arial" w:eastAsia="宋体" w:hAnsi="Arial"/>
          <w:color w:val="auto"/>
          <w:sz w:val="21"/>
          <w:szCs w:val="21"/>
        </w:rPr>
      </w:pPr>
      <w:r w:rsidRPr="009A56BD">
        <w:rPr>
          <w:rFonts w:ascii="Arial" w:eastAsia="宋体" w:hAnsi="Arial" w:hint="eastAsia"/>
          <w:color w:val="auto"/>
          <w:sz w:val="21"/>
          <w:szCs w:val="21"/>
        </w:rPr>
        <w:t>本基金的托管费按前一日基金资产净值的</w:t>
      </w:r>
      <w:r w:rsidRPr="009A56BD">
        <w:rPr>
          <w:rFonts w:ascii="Arial" w:eastAsia="宋体" w:hAnsi="Arial" w:hint="eastAsia"/>
          <w:color w:val="auto"/>
          <w:sz w:val="21"/>
          <w:szCs w:val="21"/>
        </w:rPr>
        <w:t>0.10%</w:t>
      </w:r>
      <w:r w:rsidRPr="009A56BD">
        <w:rPr>
          <w:rFonts w:ascii="Arial" w:eastAsia="宋体" w:hAnsi="Arial" w:hint="eastAsia"/>
          <w:color w:val="auto"/>
          <w:sz w:val="21"/>
          <w:szCs w:val="21"/>
        </w:rPr>
        <w:t>年费率计提。托管费的计算方法如下：</w:t>
      </w:r>
    </w:p>
    <w:p w14:paraId="72A9C79D" w14:textId="77777777" w:rsidR="009A56BD" w:rsidRPr="009A56BD" w:rsidRDefault="009A56BD" w:rsidP="009A56BD">
      <w:pPr>
        <w:pStyle w:val="1f"/>
        <w:spacing w:before="100" w:beforeAutospacing="1" w:after="100" w:afterAutospacing="1"/>
        <w:ind w:firstLine="403"/>
        <w:rPr>
          <w:rFonts w:ascii="Arial" w:eastAsia="宋体" w:hAnsi="Arial"/>
          <w:color w:val="auto"/>
          <w:sz w:val="21"/>
          <w:szCs w:val="21"/>
        </w:rPr>
      </w:pPr>
      <w:r w:rsidRPr="009A56BD">
        <w:rPr>
          <w:rFonts w:ascii="Arial" w:eastAsia="宋体" w:hAnsi="Arial" w:hint="eastAsia"/>
          <w:color w:val="auto"/>
          <w:sz w:val="21"/>
          <w:szCs w:val="21"/>
        </w:rPr>
        <w:t>H</w:t>
      </w:r>
      <w:r w:rsidRPr="009A56BD">
        <w:rPr>
          <w:rFonts w:ascii="Arial" w:eastAsia="宋体" w:hAnsi="Arial" w:hint="eastAsia"/>
          <w:color w:val="auto"/>
          <w:sz w:val="21"/>
          <w:szCs w:val="21"/>
        </w:rPr>
        <w:t>＝</w:t>
      </w:r>
      <w:r w:rsidRPr="009A56BD">
        <w:rPr>
          <w:rFonts w:ascii="Arial" w:eastAsia="宋体" w:hAnsi="Arial" w:hint="eastAsia"/>
          <w:color w:val="auto"/>
          <w:sz w:val="21"/>
          <w:szCs w:val="21"/>
        </w:rPr>
        <w:t>E</w:t>
      </w:r>
      <w:r w:rsidRPr="009A56BD">
        <w:rPr>
          <w:rFonts w:ascii="Arial" w:eastAsia="宋体" w:hAnsi="Arial" w:hint="eastAsia"/>
          <w:color w:val="auto"/>
          <w:sz w:val="21"/>
          <w:szCs w:val="21"/>
        </w:rPr>
        <w:t>×</w:t>
      </w:r>
      <w:r w:rsidRPr="009A56BD">
        <w:rPr>
          <w:rFonts w:ascii="Arial" w:eastAsia="宋体" w:hAnsi="Arial" w:hint="eastAsia"/>
          <w:color w:val="auto"/>
          <w:sz w:val="21"/>
          <w:szCs w:val="21"/>
        </w:rPr>
        <w:t>0.10%</w:t>
      </w:r>
      <w:r w:rsidRPr="009A56BD">
        <w:rPr>
          <w:rFonts w:ascii="Arial" w:eastAsia="宋体" w:hAnsi="Arial" w:hint="eastAsia"/>
          <w:color w:val="auto"/>
          <w:sz w:val="21"/>
          <w:szCs w:val="21"/>
        </w:rPr>
        <w:t>÷当年天数</w:t>
      </w:r>
    </w:p>
    <w:p w14:paraId="765BD9A7" w14:textId="77777777" w:rsidR="009A56BD" w:rsidRPr="009A56BD" w:rsidRDefault="009A56BD" w:rsidP="009A56BD">
      <w:pPr>
        <w:pStyle w:val="1f"/>
        <w:spacing w:before="100" w:beforeAutospacing="1" w:after="100" w:afterAutospacing="1"/>
        <w:ind w:firstLine="403"/>
        <w:rPr>
          <w:rFonts w:ascii="Arial" w:eastAsia="宋体" w:hAnsi="Arial"/>
          <w:color w:val="auto"/>
          <w:sz w:val="21"/>
          <w:szCs w:val="21"/>
        </w:rPr>
      </w:pPr>
      <w:r w:rsidRPr="009A56BD">
        <w:rPr>
          <w:rFonts w:ascii="Arial" w:eastAsia="宋体" w:hAnsi="Arial" w:hint="eastAsia"/>
          <w:color w:val="auto"/>
          <w:sz w:val="21"/>
          <w:szCs w:val="21"/>
        </w:rPr>
        <w:t>H</w:t>
      </w:r>
      <w:r w:rsidRPr="009A56BD">
        <w:rPr>
          <w:rFonts w:ascii="Arial" w:eastAsia="宋体" w:hAnsi="Arial" w:hint="eastAsia"/>
          <w:color w:val="auto"/>
          <w:sz w:val="21"/>
          <w:szCs w:val="21"/>
        </w:rPr>
        <w:t>为每日应计提的基金托管费</w:t>
      </w:r>
    </w:p>
    <w:p w14:paraId="3CB9D32E" w14:textId="77777777" w:rsidR="009A56BD" w:rsidRPr="009A56BD" w:rsidRDefault="009A56BD" w:rsidP="009A56BD">
      <w:pPr>
        <w:pStyle w:val="1f"/>
        <w:spacing w:before="100" w:beforeAutospacing="1" w:after="100" w:afterAutospacing="1"/>
        <w:ind w:firstLine="403"/>
        <w:rPr>
          <w:rFonts w:ascii="Arial" w:eastAsia="宋体" w:hAnsi="Arial"/>
          <w:color w:val="auto"/>
          <w:sz w:val="21"/>
          <w:szCs w:val="21"/>
        </w:rPr>
      </w:pPr>
      <w:r w:rsidRPr="009A56BD">
        <w:rPr>
          <w:rFonts w:ascii="Arial" w:eastAsia="宋体" w:hAnsi="Arial" w:hint="eastAsia"/>
          <w:color w:val="auto"/>
          <w:sz w:val="21"/>
          <w:szCs w:val="21"/>
        </w:rPr>
        <w:t>E</w:t>
      </w:r>
      <w:r w:rsidRPr="009A56BD">
        <w:rPr>
          <w:rFonts w:ascii="Arial" w:eastAsia="宋体" w:hAnsi="Arial" w:hint="eastAsia"/>
          <w:color w:val="auto"/>
          <w:sz w:val="21"/>
          <w:szCs w:val="21"/>
        </w:rPr>
        <w:t>为前一日的基金资产净值</w:t>
      </w:r>
    </w:p>
    <w:p w14:paraId="72D172AC" w14:textId="152DE030" w:rsidR="008247B4" w:rsidRDefault="009A56BD">
      <w:pPr>
        <w:pStyle w:val="1f"/>
        <w:spacing w:before="100" w:beforeAutospacing="1" w:after="100" w:afterAutospacing="1"/>
        <w:ind w:firstLine="403"/>
        <w:rPr>
          <w:rFonts w:ascii="Arial" w:eastAsia="宋体" w:hAnsi="Arial"/>
          <w:color w:val="auto"/>
          <w:sz w:val="21"/>
          <w:szCs w:val="21"/>
        </w:rPr>
      </w:pPr>
      <w:r w:rsidRPr="009A56BD">
        <w:rPr>
          <w:rFonts w:ascii="Arial" w:eastAsia="宋体" w:hAnsi="Arial" w:hint="eastAsia"/>
          <w:color w:val="auto"/>
          <w:sz w:val="21"/>
          <w:szCs w:val="21"/>
        </w:rPr>
        <w:lastRenderedPageBreak/>
        <w:t>基金托管费每日计提，按月支付。由基金托管人根据与基金管理人核对一致的财务数据，自动在月初</w:t>
      </w:r>
      <w:r w:rsidRPr="009A56BD">
        <w:rPr>
          <w:rFonts w:ascii="Arial" w:eastAsia="宋体" w:hAnsi="Arial" w:hint="eastAsia"/>
          <w:color w:val="auto"/>
          <w:sz w:val="21"/>
          <w:szCs w:val="21"/>
        </w:rPr>
        <w:t>5</w:t>
      </w:r>
      <w:proofErr w:type="gramStart"/>
      <w:r w:rsidRPr="009A56BD">
        <w:rPr>
          <w:rFonts w:ascii="Arial" w:eastAsia="宋体" w:hAnsi="Arial" w:hint="eastAsia"/>
          <w:color w:val="auto"/>
          <w:sz w:val="21"/>
          <w:szCs w:val="21"/>
        </w:rPr>
        <w:t>个</w:t>
      </w:r>
      <w:proofErr w:type="gramEnd"/>
      <w:r w:rsidRPr="009A56BD">
        <w:rPr>
          <w:rFonts w:ascii="Arial" w:eastAsia="宋体" w:hAnsi="Arial" w:hint="eastAsia"/>
          <w:color w:val="auto"/>
          <w:sz w:val="21"/>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E4A1F69" w14:textId="7E4EC37C"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（三）</w:t>
      </w:r>
      <w:bookmarkEnd w:id="37"/>
      <w:r>
        <w:rPr>
          <w:rFonts w:ascii="Arial" w:eastAsia="宋体" w:hAnsi="Arial"/>
          <w:color w:val="auto"/>
          <w:sz w:val="21"/>
          <w:szCs w:val="21"/>
        </w:rPr>
        <w:t>从基金财产中列支基金管理人的管理费、基金托管人的托管费之外的其他基金费用，应当依据有关法律法规、《基金合同》的规定执行。</w:t>
      </w:r>
    </w:p>
    <w:p w14:paraId="29909634" w14:textId="58971599"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w:t>
      </w:r>
      <w:r w:rsidR="009A56BD">
        <w:rPr>
          <w:rFonts w:ascii="Arial" w:eastAsia="宋体" w:hAnsi="Arial" w:hint="eastAsia"/>
          <w:color w:val="auto"/>
          <w:sz w:val="21"/>
          <w:szCs w:val="21"/>
        </w:rPr>
        <w:t>四</w:t>
      </w:r>
      <w:r>
        <w:rPr>
          <w:rFonts w:ascii="Arial" w:eastAsia="宋体" w:hAnsi="Arial"/>
          <w:color w:val="auto"/>
          <w:sz w:val="21"/>
          <w:szCs w:val="21"/>
        </w:rPr>
        <w:t>）对于违反法律法规、《基金合同》、本协议及其他有关规定（包括基金费用的计提方法、计提标准、支付方式等）的基金费用，不得从任何基金财产中列支。</w:t>
      </w:r>
    </w:p>
    <w:p w14:paraId="2ADF0C07" w14:textId="068096A5"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w:t>
      </w:r>
      <w:r w:rsidR="009A56BD">
        <w:rPr>
          <w:rFonts w:ascii="Arial" w:eastAsia="宋体" w:hAnsi="Arial" w:hint="eastAsia"/>
          <w:color w:val="auto"/>
          <w:sz w:val="21"/>
          <w:szCs w:val="21"/>
        </w:rPr>
        <w:t>五</w:t>
      </w:r>
      <w:r>
        <w:rPr>
          <w:rFonts w:ascii="Arial" w:eastAsia="宋体" w:hAnsi="Arial"/>
          <w:color w:val="auto"/>
          <w:sz w:val="21"/>
          <w:szCs w:val="21"/>
        </w:rPr>
        <w:t>）本基金支付给基金管理人、基金托管人的各项费用均为含税价格，具体税率适用中国税务机关的相关规定。</w:t>
      </w:r>
    </w:p>
    <w:p w14:paraId="49DD38CA"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本基金运作过程中涉及的各纳税主体，其纳税义务按国家税收法律、法规执行，但本基金运作过程中应缴纳的增值税、附加税费等税费由基金财产承担，按照税务机关的要求以基金管理人名义缴纳。</w:t>
      </w:r>
    </w:p>
    <w:p w14:paraId="46D88BD4" w14:textId="77777777" w:rsidR="008247B4" w:rsidRDefault="00CA50F3">
      <w:pPr>
        <w:pStyle w:val="116"/>
        <w:spacing w:before="100" w:beforeAutospacing="1" w:after="100" w:afterAutospacing="1" w:line="400" w:lineRule="exact"/>
        <w:ind w:firstLine="422"/>
        <w:rPr>
          <w:rFonts w:ascii="Arial" w:hAnsi="Arial"/>
          <w:sz w:val="21"/>
          <w:szCs w:val="21"/>
        </w:rPr>
      </w:pPr>
      <w:bookmarkStart w:id="38" w:name="_Toc202171873"/>
      <w:bookmarkStart w:id="39" w:name="_Toc116900107"/>
      <w:bookmarkEnd w:id="36"/>
      <w:r>
        <w:rPr>
          <w:rFonts w:ascii="Arial" w:hAnsi="Arial"/>
          <w:sz w:val="21"/>
          <w:szCs w:val="21"/>
        </w:rPr>
        <w:t>十二、基金份额持有人名册的保管</w:t>
      </w:r>
      <w:bookmarkEnd w:id="38"/>
    </w:p>
    <w:p w14:paraId="7C7913D0" w14:textId="1721D139"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限不少于</w:t>
      </w:r>
      <w:r w:rsidR="009A56BD">
        <w:rPr>
          <w:rFonts w:ascii="Arial" w:eastAsia="宋体" w:hAnsi="Arial" w:hint="eastAsia"/>
          <w:color w:val="auto"/>
          <w:sz w:val="21"/>
          <w:szCs w:val="21"/>
        </w:rPr>
        <w:t>法律法规规定的最低年限</w:t>
      </w:r>
      <w:r>
        <w:rPr>
          <w:rFonts w:ascii="Arial" w:eastAsia="宋体" w:hAnsi="Arial"/>
          <w:color w:val="auto"/>
          <w:sz w:val="21"/>
          <w:szCs w:val="21"/>
        </w:rPr>
        <w:t>。如不能妥善保管，则按相关法律法规承担责任。</w:t>
      </w:r>
    </w:p>
    <w:p w14:paraId="4BF9FD8F" w14:textId="309F1371" w:rsidR="008247B4" w:rsidRDefault="00CA50F3">
      <w:pPr>
        <w:pStyle w:val="1f"/>
        <w:spacing w:before="100" w:beforeAutospacing="1" w:after="100" w:afterAutospacing="1"/>
        <w:ind w:firstLine="403"/>
        <w:rPr>
          <w:rFonts w:ascii="Arial" w:eastAsia="宋体" w:hAnsi="Arial"/>
          <w:color w:val="auto"/>
        </w:rPr>
      </w:pPr>
      <w:r>
        <w:rPr>
          <w:rFonts w:ascii="Arial" w:eastAsia="宋体" w:hAnsi="Arial"/>
          <w:color w:val="auto"/>
          <w:sz w:val="21"/>
          <w:szCs w:val="21"/>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50813F79" w14:textId="77777777" w:rsidR="008247B4" w:rsidRDefault="008247B4">
      <w:pPr>
        <w:pStyle w:val="15"/>
        <w:rPr>
          <w:rFonts w:ascii="Arial" w:hAnsi="Arial"/>
          <w:szCs w:val="21"/>
        </w:rPr>
      </w:pPr>
    </w:p>
    <w:p w14:paraId="096CEDB6" w14:textId="77777777" w:rsidR="008247B4" w:rsidRDefault="00CA50F3">
      <w:pPr>
        <w:pStyle w:val="116"/>
        <w:spacing w:before="100" w:beforeAutospacing="1" w:after="100" w:afterAutospacing="1" w:line="400" w:lineRule="exact"/>
        <w:ind w:firstLine="422"/>
        <w:rPr>
          <w:rFonts w:ascii="Arial" w:hAnsi="Arial"/>
          <w:sz w:val="21"/>
          <w:szCs w:val="21"/>
        </w:rPr>
      </w:pPr>
      <w:bookmarkStart w:id="40" w:name="_Toc202171874"/>
      <w:r>
        <w:rPr>
          <w:rFonts w:ascii="Arial" w:hAnsi="Arial"/>
          <w:sz w:val="21"/>
          <w:szCs w:val="21"/>
        </w:rPr>
        <w:t>十三、基金有关文件档案的保存</w:t>
      </w:r>
      <w:bookmarkEnd w:id="40"/>
    </w:p>
    <w:p w14:paraId="32E8100C" w14:textId="3C6208C0"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（一）基金管理人应保存基金财产管理业务活动的记录、账册、报表和其他相关资料，基金托管人应保存基金托管业务活动的记录、账册、报表和其他相关资料，保存期限不少于法律法规规定的</w:t>
      </w:r>
      <w:r w:rsidR="009A56BD">
        <w:rPr>
          <w:rFonts w:ascii="Arial" w:eastAsia="宋体" w:hAnsi="Arial" w:hint="eastAsia"/>
          <w:color w:val="auto"/>
          <w:sz w:val="21"/>
          <w:szCs w:val="21"/>
        </w:rPr>
        <w:t>最低年限</w:t>
      </w:r>
      <w:r>
        <w:rPr>
          <w:rFonts w:ascii="Arial" w:eastAsia="宋体" w:hAnsi="Arial"/>
          <w:color w:val="auto"/>
          <w:sz w:val="21"/>
          <w:szCs w:val="21"/>
        </w:rPr>
        <w:t>。</w:t>
      </w:r>
    </w:p>
    <w:p w14:paraId="0BBC674B" w14:textId="0A4260A2"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（二）基金管理人和基金托管人应按本协议第十条的约定对各自保存的文件和档案履</w:t>
      </w:r>
      <w:r>
        <w:rPr>
          <w:rFonts w:ascii="Arial" w:eastAsia="宋体" w:hAnsi="Arial"/>
          <w:color w:val="auto"/>
          <w:sz w:val="21"/>
          <w:szCs w:val="21"/>
        </w:rPr>
        <w:lastRenderedPageBreak/>
        <w:t>行保密义务</w:t>
      </w:r>
      <w:r w:rsidR="004A423B" w:rsidRPr="004A423B">
        <w:rPr>
          <w:rFonts w:ascii="Arial" w:eastAsia="宋体" w:hAnsi="Arial" w:hint="eastAsia"/>
          <w:color w:val="auto"/>
          <w:sz w:val="21"/>
          <w:szCs w:val="21"/>
        </w:rPr>
        <w:t>，法律法规另有规定或有权机关另有要求的除外</w:t>
      </w:r>
      <w:r>
        <w:rPr>
          <w:rFonts w:ascii="Arial" w:eastAsia="宋体" w:hAnsi="Arial"/>
          <w:color w:val="auto"/>
          <w:sz w:val="21"/>
          <w:szCs w:val="21"/>
        </w:rPr>
        <w:t>。</w:t>
      </w:r>
    </w:p>
    <w:p w14:paraId="55D34DEF" w14:textId="77777777" w:rsidR="008247B4" w:rsidRDefault="008247B4">
      <w:pPr>
        <w:pStyle w:val="1f"/>
        <w:spacing w:before="100" w:beforeAutospacing="1" w:after="100" w:afterAutospacing="1"/>
        <w:rPr>
          <w:rFonts w:ascii="Arial" w:eastAsia="宋体" w:hAnsi="Arial"/>
          <w:color w:val="auto"/>
        </w:rPr>
      </w:pPr>
    </w:p>
    <w:p w14:paraId="2661B1AD" w14:textId="77777777" w:rsidR="008247B4" w:rsidRDefault="00CA50F3">
      <w:pPr>
        <w:pStyle w:val="116"/>
        <w:spacing w:before="100" w:beforeAutospacing="1" w:after="100" w:afterAutospacing="1" w:line="400" w:lineRule="exact"/>
        <w:ind w:firstLine="422"/>
        <w:rPr>
          <w:rFonts w:ascii="Arial" w:hAnsi="Arial"/>
          <w:sz w:val="21"/>
          <w:szCs w:val="21"/>
        </w:rPr>
      </w:pPr>
      <w:bookmarkStart w:id="41" w:name="_Toc202171875"/>
      <w:r>
        <w:rPr>
          <w:rFonts w:ascii="Arial" w:hAnsi="Arial"/>
          <w:sz w:val="21"/>
          <w:szCs w:val="21"/>
        </w:rPr>
        <w:t>十四、</w:t>
      </w:r>
      <w:bookmarkStart w:id="42" w:name="_Toc116900108"/>
      <w:bookmarkEnd w:id="39"/>
      <w:r>
        <w:rPr>
          <w:rFonts w:ascii="Arial" w:hAnsi="Arial"/>
          <w:sz w:val="21"/>
          <w:szCs w:val="21"/>
        </w:rPr>
        <w:t>基金托管人和基金管理人的更换</w:t>
      </w:r>
      <w:bookmarkEnd w:id="41"/>
      <w:bookmarkEnd w:id="42"/>
      <w:r>
        <w:rPr>
          <w:rFonts w:ascii="Arial" w:hAnsi="Arial"/>
          <w:sz w:val="21"/>
          <w:szCs w:val="21"/>
        </w:rPr>
        <w:t xml:space="preserve"> </w:t>
      </w:r>
    </w:p>
    <w:p w14:paraId="0CEA0A40" w14:textId="0156568A"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（一）基金管理人职责终止后，仍应妥善保管基金管理业务资料，并与</w:t>
      </w:r>
      <w:proofErr w:type="gramStart"/>
      <w:r>
        <w:rPr>
          <w:rFonts w:ascii="Arial" w:hAnsi="Arial"/>
          <w:szCs w:val="21"/>
        </w:rPr>
        <w:t>新任基金</w:t>
      </w:r>
      <w:proofErr w:type="gramEnd"/>
      <w:r>
        <w:rPr>
          <w:rFonts w:ascii="Arial" w:hAnsi="Arial"/>
          <w:szCs w:val="21"/>
        </w:rPr>
        <w:t>管理人或临时基金管理人及时办理基金管理业务的移交手续。基金托管人应给予积极配合，并与</w:t>
      </w:r>
      <w:proofErr w:type="gramStart"/>
      <w:r>
        <w:rPr>
          <w:rFonts w:ascii="Arial" w:hAnsi="Arial"/>
          <w:szCs w:val="21"/>
        </w:rPr>
        <w:t>新任基金</w:t>
      </w:r>
      <w:proofErr w:type="gramEnd"/>
      <w:r>
        <w:rPr>
          <w:rFonts w:ascii="Arial" w:hAnsi="Arial"/>
          <w:szCs w:val="21"/>
        </w:rPr>
        <w:t>管理人或临时基金管理人核对基金净值</w:t>
      </w:r>
      <w:r w:rsidR="004A423B">
        <w:rPr>
          <w:rFonts w:ascii="Arial" w:hAnsi="Arial" w:hint="eastAsia"/>
          <w:szCs w:val="21"/>
        </w:rPr>
        <w:t>信息</w:t>
      </w:r>
      <w:r>
        <w:rPr>
          <w:rFonts w:ascii="Arial" w:hAnsi="Arial"/>
          <w:szCs w:val="21"/>
        </w:rPr>
        <w:t>。</w:t>
      </w:r>
    </w:p>
    <w:p w14:paraId="0997E8E8" w14:textId="16CE8981"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（二）基金托管人职责终止后，仍应妥善保管基金财产和基金托管业务资料，并与</w:t>
      </w:r>
      <w:proofErr w:type="gramStart"/>
      <w:r>
        <w:rPr>
          <w:rFonts w:ascii="Arial" w:hAnsi="Arial"/>
          <w:szCs w:val="21"/>
        </w:rPr>
        <w:t>新任基金</w:t>
      </w:r>
      <w:proofErr w:type="gramEnd"/>
      <w:r>
        <w:rPr>
          <w:rFonts w:ascii="Arial" w:hAnsi="Arial"/>
          <w:szCs w:val="21"/>
        </w:rPr>
        <w:t>托管人或临时基金托管人及时办理基金财产和基金托管业务的移交手续。基金管理人应给予积极配合，并与</w:t>
      </w:r>
      <w:proofErr w:type="gramStart"/>
      <w:r>
        <w:rPr>
          <w:rFonts w:ascii="Arial" w:hAnsi="Arial"/>
          <w:szCs w:val="21"/>
        </w:rPr>
        <w:t>新任基金</w:t>
      </w:r>
      <w:proofErr w:type="gramEnd"/>
      <w:r>
        <w:rPr>
          <w:rFonts w:ascii="Arial" w:hAnsi="Arial"/>
          <w:szCs w:val="21"/>
        </w:rPr>
        <w:t>托管人或临时基金托管人核对基金净值</w:t>
      </w:r>
      <w:r w:rsidR="004A423B">
        <w:rPr>
          <w:rFonts w:ascii="Arial" w:hAnsi="Arial" w:hint="eastAsia"/>
          <w:szCs w:val="21"/>
        </w:rPr>
        <w:t>信息</w:t>
      </w:r>
      <w:r>
        <w:rPr>
          <w:rFonts w:ascii="Arial" w:hAnsi="Arial"/>
          <w:szCs w:val="21"/>
        </w:rPr>
        <w:t>。</w:t>
      </w:r>
    </w:p>
    <w:p w14:paraId="23CED3D7"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（三）其他事宜见《基金合同》的相关约定。</w:t>
      </w:r>
      <w:bookmarkStart w:id="43" w:name="_Toc116900110"/>
    </w:p>
    <w:p w14:paraId="50A1A47D" w14:textId="77777777" w:rsidR="008247B4" w:rsidRDefault="008247B4">
      <w:pPr>
        <w:pStyle w:val="15"/>
        <w:spacing w:before="100" w:beforeAutospacing="1" w:after="100" w:afterAutospacing="1" w:line="400" w:lineRule="exact"/>
        <w:ind w:firstLine="420"/>
        <w:rPr>
          <w:rFonts w:ascii="Arial" w:hAnsi="Arial"/>
        </w:rPr>
      </w:pPr>
    </w:p>
    <w:p w14:paraId="643030E4" w14:textId="77777777" w:rsidR="008247B4" w:rsidRDefault="00CA50F3">
      <w:pPr>
        <w:pStyle w:val="116"/>
        <w:spacing w:before="100" w:beforeAutospacing="1" w:after="100" w:afterAutospacing="1" w:line="400" w:lineRule="exact"/>
        <w:ind w:firstLine="422"/>
        <w:rPr>
          <w:rFonts w:ascii="Arial" w:hAnsi="Arial"/>
          <w:sz w:val="21"/>
          <w:szCs w:val="21"/>
        </w:rPr>
      </w:pPr>
      <w:bookmarkStart w:id="44" w:name="_Toc202171876"/>
      <w:r>
        <w:rPr>
          <w:rFonts w:ascii="Arial" w:hAnsi="Arial"/>
          <w:sz w:val="21"/>
          <w:szCs w:val="21"/>
        </w:rPr>
        <w:t>十五、禁止行为</w:t>
      </w:r>
      <w:bookmarkEnd w:id="43"/>
      <w:bookmarkEnd w:id="44"/>
    </w:p>
    <w:p w14:paraId="27D080BB"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（一）《基金法》第二十条、第三十八条禁止的行为。</w:t>
      </w:r>
    </w:p>
    <w:p w14:paraId="04E760FA"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（二）《基金法》第七十三条禁止的投资或活动。</w:t>
      </w:r>
    </w:p>
    <w:p w14:paraId="3B7FFE88"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（三）除根据基金管理人的指令或《基金合同》、本协议另有规定外，基金托管人不得动用或处分基金财产。</w:t>
      </w:r>
    </w:p>
    <w:p w14:paraId="38548B96" w14:textId="374B38F3"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（四）基金管理人、基金托管人的</w:t>
      </w:r>
      <w:r w:rsidR="004A423B">
        <w:rPr>
          <w:rFonts w:ascii="Arial" w:hAnsi="Arial" w:hint="eastAsia"/>
          <w:szCs w:val="21"/>
        </w:rPr>
        <w:t>董事、监事、</w:t>
      </w:r>
      <w:r>
        <w:rPr>
          <w:rFonts w:ascii="Arial" w:hAnsi="Arial"/>
          <w:szCs w:val="21"/>
        </w:rPr>
        <w:t>高级管理人员和其他从业人员不得相互兼职。</w:t>
      </w:r>
    </w:p>
    <w:p w14:paraId="1E7BCDB7"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（五）法律法规、《基金合同》和本协议禁止的其他行为。</w:t>
      </w:r>
    </w:p>
    <w:p w14:paraId="0E8F9F41"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法律法规或监管部门调整上述限制的，本基金从其规定。</w:t>
      </w:r>
    </w:p>
    <w:p w14:paraId="36DD35D0" w14:textId="77777777" w:rsidR="008247B4" w:rsidRDefault="008247B4">
      <w:pPr>
        <w:pStyle w:val="1f"/>
        <w:spacing w:before="100" w:beforeAutospacing="1" w:after="100" w:afterAutospacing="1"/>
        <w:ind w:firstLine="403"/>
        <w:rPr>
          <w:rFonts w:ascii="Arial" w:eastAsia="宋体" w:hAnsi="Arial"/>
          <w:color w:val="auto"/>
          <w:sz w:val="21"/>
          <w:szCs w:val="21"/>
        </w:rPr>
      </w:pPr>
    </w:p>
    <w:p w14:paraId="5F66450D" w14:textId="77777777" w:rsidR="008247B4" w:rsidRDefault="00CA50F3">
      <w:pPr>
        <w:pStyle w:val="116"/>
        <w:spacing w:before="100" w:beforeAutospacing="1" w:after="100" w:afterAutospacing="1" w:line="400" w:lineRule="exact"/>
        <w:ind w:firstLine="422"/>
        <w:rPr>
          <w:rFonts w:ascii="Arial" w:hAnsi="Arial"/>
          <w:sz w:val="21"/>
          <w:szCs w:val="21"/>
        </w:rPr>
      </w:pPr>
      <w:bookmarkStart w:id="45" w:name="_Toc202171877"/>
      <w:bookmarkStart w:id="46" w:name="_Toc116900111"/>
      <w:r>
        <w:rPr>
          <w:rFonts w:ascii="Arial" w:hAnsi="Arial"/>
          <w:sz w:val="21"/>
          <w:szCs w:val="21"/>
        </w:rPr>
        <w:t>十六、托管协议的变更、终止与基金财产的清算</w:t>
      </w:r>
      <w:bookmarkEnd w:id="45"/>
    </w:p>
    <w:p w14:paraId="7173F16A"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（一）托管协议的变更</w:t>
      </w:r>
    </w:p>
    <w:p w14:paraId="08016CB7" w14:textId="2E68DD56"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lastRenderedPageBreak/>
        <w:t>本协议双方当事人经协商一致，可以对协议进行变更。变更后的新协议，其内容不得与《基金合同》的规定有任何冲突。本协议约定事项如与法律法规、《基金合同》的规定相冲突的，应以法律法规及《基金合同》的规定为准。</w:t>
      </w:r>
    </w:p>
    <w:p w14:paraId="39B4700A"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（二）托管协议的终止</w:t>
      </w:r>
    </w:p>
    <w:p w14:paraId="5A3AF504"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发生以下情况，经履行适当程序后，本托管协议应当终止：</w:t>
      </w:r>
    </w:p>
    <w:p w14:paraId="22D67BF0"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、《基金合同》终止；</w:t>
      </w:r>
    </w:p>
    <w:p w14:paraId="195D65BB"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2</w:t>
      </w:r>
      <w:r>
        <w:rPr>
          <w:rFonts w:ascii="Arial" w:eastAsia="宋体" w:hAnsi="Arial"/>
          <w:color w:val="auto"/>
          <w:sz w:val="21"/>
          <w:szCs w:val="21"/>
        </w:rPr>
        <w:t>、本基金更换基金托管人；</w:t>
      </w:r>
    </w:p>
    <w:p w14:paraId="2F146B9C"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3</w:t>
      </w:r>
      <w:r>
        <w:rPr>
          <w:rFonts w:ascii="Arial" w:eastAsia="宋体" w:hAnsi="Arial"/>
          <w:color w:val="auto"/>
          <w:sz w:val="21"/>
          <w:szCs w:val="21"/>
        </w:rPr>
        <w:t>、本基金更换基金管理人；</w:t>
      </w:r>
    </w:p>
    <w:p w14:paraId="3D710DBF"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4</w:t>
      </w:r>
      <w:r>
        <w:rPr>
          <w:rFonts w:ascii="Arial" w:eastAsia="宋体" w:hAnsi="Arial"/>
          <w:color w:val="auto"/>
          <w:sz w:val="21"/>
          <w:szCs w:val="21"/>
        </w:rPr>
        <w:t>、发生《基金法》、《运作办法》或其他法律法规规定、中国证监会规定或《基金合同》约定的终止事项。</w:t>
      </w:r>
    </w:p>
    <w:p w14:paraId="35293C91"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（三）基金财产的清算</w:t>
      </w:r>
    </w:p>
    <w:p w14:paraId="0A055AE6"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基金管理人和基金托管人应按照《基金合同》及有关法律法规的规定对本基金的财产进行清算。</w:t>
      </w:r>
    </w:p>
    <w:p w14:paraId="0A7CE354" w14:textId="77777777" w:rsidR="008247B4" w:rsidRDefault="008247B4">
      <w:pPr>
        <w:pStyle w:val="15"/>
        <w:spacing w:before="100" w:beforeAutospacing="1" w:after="100" w:afterAutospacing="1" w:line="400" w:lineRule="exact"/>
        <w:rPr>
          <w:rFonts w:ascii="Arial" w:hAnsi="Arial"/>
          <w:szCs w:val="21"/>
        </w:rPr>
      </w:pPr>
    </w:p>
    <w:p w14:paraId="7429C2B6" w14:textId="77777777" w:rsidR="008247B4" w:rsidRDefault="00CA50F3">
      <w:pPr>
        <w:pStyle w:val="116"/>
        <w:spacing w:before="100" w:beforeAutospacing="1" w:after="100" w:afterAutospacing="1" w:line="400" w:lineRule="exact"/>
        <w:ind w:firstLine="422"/>
        <w:rPr>
          <w:rFonts w:ascii="Arial" w:hAnsi="Arial"/>
          <w:sz w:val="21"/>
          <w:szCs w:val="21"/>
        </w:rPr>
      </w:pPr>
      <w:bookmarkStart w:id="47" w:name="_Toc202171878"/>
      <w:r>
        <w:rPr>
          <w:rFonts w:ascii="Arial" w:hAnsi="Arial"/>
          <w:sz w:val="21"/>
          <w:szCs w:val="21"/>
        </w:rPr>
        <w:t>十七、违约责任和责任划分</w:t>
      </w:r>
      <w:bookmarkEnd w:id="46"/>
      <w:bookmarkEnd w:id="47"/>
    </w:p>
    <w:p w14:paraId="011FBEFA"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（一）本协议当事人不履行本协议或履行本协议不符合约定的，应当承担违约责任。</w:t>
      </w:r>
    </w:p>
    <w:p w14:paraId="39EE1DDD" w14:textId="6031F55C"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（二）因本协议当事人违约给基金财产或者基金份额持有人造成损害的，应当分别对各自的行为依法承担赔偿责任</w:t>
      </w:r>
      <w:r w:rsidR="000C4339">
        <w:rPr>
          <w:rFonts w:ascii="Arial" w:hAnsi="Arial" w:hint="eastAsia"/>
          <w:szCs w:val="21"/>
        </w:rPr>
        <w:t>；</w:t>
      </w:r>
      <w:r>
        <w:rPr>
          <w:rFonts w:ascii="Arial" w:hAnsi="Arial"/>
          <w:szCs w:val="21"/>
        </w:rPr>
        <w:t>因共同行为给基金财产或者基金份额持有人造成损害的，应当承担连带赔偿责任。</w:t>
      </w:r>
    </w:p>
    <w:p w14:paraId="7EFC8518"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（三）一方当事人违反本协议，给另一方当事人造成损失的，应承担赔偿责任。但是如发生下列情况，相应的当事人免责：</w:t>
      </w:r>
    </w:p>
    <w:p w14:paraId="388ADEE8"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hint="eastAsia"/>
          <w:color w:val="auto"/>
          <w:sz w:val="21"/>
          <w:szCs w:val="21"/>
        </w:rPr>
        <w:t>1</w:t>
      </w:r>
      <w:r>
        <w:rPr>
          <w:rFonts w:ascii="Arial" w:eastAsia="宋体" w:hAnsi="Arial" w:hint="eastAsia"/>
          <w:color w:val="auto"/>
          <w:sz w:val="21"/>
          <w:szCs w:val="21"/>
        </w:rPr>
        <w:t>、不可抗力；</w:t>
      </w:r>
    </w:p>
    <w:p w14:paraId="4296476B" w14:textId="1CA91FCD"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hint="eastAsia"/>
          <w:color w:val="auto"/>
          <w:sz w:val="21"/>
          <w:szCs w:val="21"/>
        </w:rPr>
        <w:t>2</w:t>
      </w:r>
      <w:r>
        <w:rPr>
          <w:rFonts w:ascii="Arial" w:eastAsia="宋体" w:hAnsi="Arial" w:hint="eastAsia"/>
          <w:color w:val="auto"/>
          <w:sz w:val="21"/>
          <w:szCs w:val="21"/>
        </w:rPr>
        <w:t>、基金管理人和</w:t>
      </w:r>
      <w:r>
        <w:rPr>
          <w:rFonts w:ascii="Arial" w:eastAsia="宋体" w:hAnsi="Arial" w:hint="eastAsia"/>
          <w:color w:val="auto"/>
          <w:sz w:val="21"/>
          <w:szCs w:val="21"/>
        </w:rPr>
        <w:t>/</w:t>
      </w:r>
      <w:r>
        <w:rPr>
          <w:rFonts w:ascii="Arial" w:eastAsia="宋体" w:hAnsi="Arial" w:hint="eastAsia"/>
          <w:color w:val="auto"/>
          <w:sz w:val="21"/>
          <w:szCs w:val="21"/>
        </w:rPr>
        <w:t>或基金托管人按照当时有效的法律法规或</w:t>
      </w:r>
      <w:r w:rsidR="008D20B5">
        <w:rPr>
          <w:rFonts w:ascii="Arial" w:eastAsia="宋体" w:hAnsi="Arial" w:hint="eastAsia"/>
          <w:color w:val="auto"/>
          <w:sz w:val="21"/>
          <w:szCs w:val="21"/>
        </w:rPr>
        <w:t>监管机构</w:t>
      </w:r>
      <w:r>
        <w:rPr>
          <w:rFonts w:ascii="Arial" w:eastAsia="宋体" w:hAnsi="Arial" w:hint="eastAsia"/>
          <w:color w:val="auto"/>
          <w:sz w:val="21"/>
          <w:szCs w:val="21"/>
        </w:rPr>
        <w:t>的规定</w:t>
      </w:r>
      <w:r w:rsidR="001A5974">
        <w:rPr>
          <w:rFonts w:ascii="Arial" w:eastAsia="宋体" w:hAnsi="Arial" w:hint="eastAsia"/>
          <w:color w:val="auto"/>
          <w:sz w:val="21"/>
          <w:szCs w:val="21"/>
        </w:rPr>
        <w:t>或交易所规则</w:t>
      </w:r>
      <w:r>
        <w:rPr>
          <w:rFonts w:ascii="Arial" w:eastAsia="宋体" w:hAnsi="Arial" w:hint="eastAsia"/>
          <w:color w:val="auto"/>
          <w:sz w:val="21"/>
          <w:szCs w:val="21"/>
        </w:rPr>
        <w:t>作为或不作为而造成的损失等；</w:t>
      </w:r>
    </w:p>
    <w:p w14:paraId="1A3EA53F"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hint="eastAsia"/>
          <w:szCs w:val="21"/>
        </w:rPr>
        <w:lastRenderedPageBreak/>
        <w:t>3</w:t>
      </w:r>
      <w:r>
        <w:rPr>
          <w:rFonts w:ascii="Arial" w:hAnsi="Arial" w:hint="eastAsia"/>
          <w:szCs w:val="21"/>
        </w:rPr>
        <w:t>、基金管理人按照基金合同约定的投资原则投资或不投资造成的损失等；</w:t>
      </w:r>
    </w:p>
    <w:p w14:paraId="70561F66" w14:textId="6E31F17A"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4</w:t>
      </w:r>
      <w:r>
        <w:rPr>
          <w:rFonts w:ascii="Arial" w:hAnsi="Arial"/>
          <w:szCs w:val="21"/>
        </w:rPr>
        <w:t>、基金托管人对存放或存管在基金托管人以外机构的基金资产，或交由证券公司等其他机构负责清算交收的基金资产及其收益不承担</w:t>
      </w:r>
      <w:r>
        <w:rPr>
          <w:rFonts w:ascii="Arial" w:hAnsi="Arial" w:hint="eastAsia"/>
          <w:szCs w:val="21"/>
        </w:rPr>
        <w:t>相应</w:t>
      </w:r>
      <w:r>
        <w:rPr>
          <w:rFonts w:ascii="Arial" w:hAnsi="Arial"/>
          <w:szCs w:val="21"/>
        </w:rPr>
        <w:t>责任</w:t>
      </w:r>
      <w:r>
        <w:rPr>
          <w:rFonts w:ascii="Arial" w:hAnsi="Arial" w:hint="eastAsia"/>
          <w:szCs w:val="21"/>
        </w:rPr>
        <w:t>。</w:t>
      </w:r>
    </w:p>
    <w:p w14:paraId="7A254996" w14:textId="5E24AFAA"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（四）</w:t>
      </w:r>
      <w:r w:rsidR="000C4339">
        <w:rPr>
          <w:rFonts w:ascii="Arial" w:eastAsia="宋体" w:hAnsi="Arial" w:hint="eastAsia"/>
          <w:color w:val="auto"/>
          <w:sz w:val="21"/>
          <w:szCs w:val="21"/>
        </w:rPr>
        <w:t>在发生一方或多方违约的情况下</w:t>
      </w:r>
      <w:r>
        <w:rPr>
          <w:rFonts w:ascii="Arial" w:eastAsia="宋体" w:hAnsi="Arial"/>
          <w:color w:val="auto"/>
          <w:sz w:val="21"/>
          <w:szCs w:val="21"/>
        </w:rPr>
        <w:t>，</w:t>
      </w:r>
      <w:r w:rsidR="000C4339">
        <w:rPr>
          <w:rFonts w:ascii="Arial" w:eastAsia="宋体" w:hAnsi="Arial" w:hint="eastAsia"/>
          <w:color w:val="auto"/>
          <w:sz w:val="21"/>
          <w:szCs w:val="21"/>
        </w:rPr>
        <w:t>非违约方当事人在</w:t>
      </w:r>
      <w:r>
        <w:rPr>
          <w:rFonts w:ascii="Arial" w:eastAsia="宋体" w:hAnsi="Arial"/>
          <w:color w:val="auto"/>
          <w:sz w:val="21"/>
          <w:szCs w:val="21"/>
        </w:rPr>
        <w:t>职责范围内有义务及时采取必要的措施，防止损失的扩大。没有采取适当措施致使损失进一步扩大的，不得就扩大的损失要求赔偿。非违约方因防止损失扩大而支出的合理费用由违约方承担。</w:t>
      </w:r>
    </w:p>
    <w:p w14:paraId="0384E613"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（五）违约行为虽已发生，但本协议能够继续履行的，在最大限度地保护基金份额持有人利益的前提下，基金管理人和基金托管人应当继续履行本协议。</w:t>
      </w:r>
    </w:p>
    <w:p w14:paraId="1C7B0DA5"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（六）为明确责任，在不影响本协议本条其他规定的普遍适用性的前提下，基金管理人和基金托管人对由于如下行为造成的损失的责任承担问题，明确如下：</w:t>
      </w:r>
    </w:p>
    <w:p w14:paraId="37C722E5"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1</w:t>
      </w:r>
      <w:r>
        <w:rPr>
          <w:rFonts w:ascii="Arial" w:eastAsia="宋体" w:hAnsi="Arial"/>
          <w:color w:val="auto"/>
          <w:sz w:val="21"/>
          <w:szCs w:val="21"/>
        </w:rPr>
        <w:t>、基金管理人由于下达违法、违规，</w:t>
      </w:r>
      <w:proofErr w:type="gramStart"/>
      <w:r>
        <w:rPr>
          <w:rFonts w:ascii="Arial" w:eastAsia="宋体" w:hAnsi="Arial"/>
          <w:color w:val="auto"/>
          <w:sz w:val="21"/>
          <w:szCs w:val="21"/>
        </w:rPr>
        <w:t>且基金</w:t>
      </w:r>
      <w:proofErr w:type="gramEnd"/>
      <w:r>
        <w:rPr>
          <w:rFonts w:ascii="Arial" w:eastAsia="宋体" w:hAnsi="Arial"/>
          <w:color w:val="auto"/>
          <w:sz w:val="21"/>
          <w:szCs w:val="21"/>
        </w:rPr>
        <w:t>托管人事前无法监督的指令所导致的责任，由基金管理人承担；</w:t>
      </w:r>
    </w:p>
    <w:p w14:paraId="6D928E9E"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2</w:t>
      </w:r>
      <w:r>
        <w:rPr>
          <w:rFonts w:ascii="Arial" w:eastAsia="宋体" w:hAnsi="Arial"/>
          <w:color w:val="auto"/>
          <w:sz w:val="21"/>
          <w:szCs w:val="21"/>
        </w:rPr>
        <w:t>、基金管理人指令下达人员在授权通知载明的权限范围内下达的指令所导致的责任，由基金管理人承担，即使该人员下达指令并没有获得基金管理人的实际授权（例如基金管理人在撤销或变更授权权限后未能及时通知基金托管人）；</w:t>
      </w:r>
    </w:p>
    <w:p w14:paraId="2A764507"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3</w:t>
      </w:r>
      <w:r>
        <w:rPr>
          <w:rFonts w:ascii="Arial" w:eastAsia="宋体" w:hAnsi="Arial"/>
          <w:color w:val="auto"/>
          <w:sz w:val="21"/>
          <w:szCs w:val="21"/>
        </w:rPr>
        <w:t>、基金托管人未对指令上签名和印鉴与预留签</w:t>
      </w:r>
      <w:r>
        <w:rPr>
          <w:rFonts w:ascii="Arial" w:eastAsia="宋体" w:hAnsi="Arial" w:hint="eastAsia"/>
          <w:color w:val="auto"/>
          <w:sz w:val="21"/>
          <w:szCs w:val="21"/>
        </w:rPr>
        <w:t>章</w:t>
      </w:r>
      <w:r>
        <w:rPr>
          <w:rFonts w:ascii="Arial" w:eastAsia="宋体" w:hAnsi="Arial"/>
          <w:color w:val="auto"/>
          <w:sz w:val="21"/>
          <w:szCs w:val="21"/>
        </w:rPr>
        <w:t>样本和预留印鉴</w:t>
      </w:r>
      <w:r>
        <w:rPr>
          <w:rFonts w:ascii="Arial" w:eastAsia="宋体" w:hAnsi="Arial"/>
          <w:color w:val="auto"/>
          <w:sz w:val="21"/>
        </w:rPr>
        <w:t>（包括授权权限）</w:t>
      </w:r>
      <w:r>
        <w:rPr>
          <w:rFonts w:ascii="Arial" w:eastAsia="宋体" w:hAnsi="Arial"/>
          <w:color w:val="auto"/>
          <w:sz w:val="21"/>
          <w:szCs w:val="21"/>
        </w:rPr>
        <w:t>进行表面真实性审核，导致基金托管人执行了应当无效的指令，基金管理人与基金托管人应根据各自过错程度承担责任；</w:t>
      </w:r>
    </w:p>
    <w:p w14:paraId="1642DA50"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4</w:t>
      </w:r>
      <w:r>
        <w:rPr>
          <w:rFonts w:ascii="Arial" w:eastAsia="宋体" w:hAnsi="Arial"/>
          <w:color w:val="auto"/>
          <w:sz w:val="21"/>
          <w:szCs w:val="21"/>
        </w:rPr>
        <w:t>、属于基金托管人实际有效控制下的基金财产（包括实物证券）在基金托管人保管期间的损坏、灭失，由此产生的责任应由该基金托管人承担；</w:t>
      </w:r>
    </w:p>
    <w:p w14:paraId="1DBDEE74"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5</w:t>
      </w:r>
      <w:r>
        <w:rPr>
          <w:rFonts w:ascii="Arial" w:eastAsia="宋体" w:hAnsi="Arial"/>
          <w:color w:val="auto"/>
          <w:sz w:val="21"/>
          <w:szCs w:val="21"/>
        </w:rPr>
        <w:t>、基金管理人应承担对其应收取的管理费数额计算错误的责任。如果基金托管人复核后同意基金管理人的计算结果，</w:t>
      </w:r>
      <w:proofErr w:type="gramStart"/>
      <w:r>
        <w:rPr>
          <w:rFonts w:ascii="Arial" w:eastAsia="宋体" w:hAnsi="Arial"/>
          <w:color w:val="auto"/>
          <w:sz w:val="21"/>
          <w:szCs w:val="21"/>
        </w:rPr>
        <w:t>则基金</w:t>
      </w:r>
      <w:proofErr w:type="gramEnd"/>
      <w:r>
        <w:rPr>
          <w:rFonts w:ascii="Arial" w:eastAsia="宋体" w:hAnsi="Arial"/>
          <w:color w:val="auto"/>
          <w:sz w:val="21"/>
          <w:szCs w:val="21"/>
        </w:rPr>
        <w:t>托管人也应承担未正确履行复核义务的相应责任；</w:t>
      </w:r>
    </w:p>
    <w:p w14:paraId="1A71A53F"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6</w:t>
      </w:r>
      <w:r>
        <w:rPr>
          <w:rFonts w:ascii="Arial" w:eastAsia="宋体" w:hAnsi="Arial"/>
          <w:color w:val="auto"/>
          <w:sz w:val="21"/>
          <w:szCs w:val="21"/>
        </w:rPr>
        <w:t>、基金管理人应承担对基金托管人应收取的托管费数额计算错误的责任。如果基金托管人复核后同意基金管理人的计算结果，</w:t>
      </w:r>
      <w:proofErr w:type="gramStart"/>
      <w:r>
        <w:rPr>
          <w:rFonts w:ascii="Arial" w:eastAsia="宋体" w:hAnsi="Arial"/>
          <w:color w:val="auto"/>
          <w:sz w:val="21"/>
          <w:szCs w:val="21"/>
        </w:rPr>
        <w:t>则基金</w:t>
      </w:r>
      <w:proofErr w:type="gramEnd"/>
      <w:r>
        <w:rPr>
          <w:rFonts w:ascii="Arial" w:eastAsia="宋体" w:hAnsi="Arial"/>
          <w:color w:val="auto"/>
          <w:sz w:val="21"/>
          <w:szCs w:val="21"/>
        </w:rPr>
        <w:t>托管人也应承担未正确履行复核义务的相应责任；</w:t>
      </w:r>
    </w:p>
    <w:p w14:paraId="14DD11D8" w14:textId="1F35B59F"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7</w:t>
      </w:r>
      <w:r>
        <w:rPr>
          <w:rFonts w:ascii="Arial" w:eastAsia="宋体" w:hAnsi="Arial"/>
          <w:color w:val="auto"/>
          <w:sz w:val="21"/>
          <w:szCs w:val="21"/>
        </w:rPr>
        <w:t>、由于基金管理人或基金托管</w:t>
      </w:r>
      <w:proofErr w:type="gramStart"/>
      <w:r>
        <w:rPr>
          <w:rFonts w:ascii="Arial" w:eastAsia="宋体" w:hAnsi="Arial"/>
          <w:color w:val="auto"/>
          <w:sz w:val="21"/>
          <w:szCs w:val="21"/>
        </w:rPr>
        <w:t>人原因</w:t>
      </w:r>
      <w:proofErr w:type="gramEnd"/>
      <w:r>
        <w:rPr>
          <w:rFonts w:ascii="Arial" w:eastAsia="宋体" w:hAnsi="Arial"/>
          <w:color w:val="auto"/>
          <w:sz w:val="21"/>
          <w:szCs w:val="21"/>
        </w:rPr>
        <w:t>导致本基金不能依据中国证券登记结算有限责任公司的业务规则及时清算的，由责任方承担由此给基金财产、基金份额持有人及受损害方</w:t>
      </w:r>
      <w:r>
        <w:rPr>
          <w:rFonts w:ascii="Arial" w:eastAsia="宋体" w:hAnsi="Arial"/>
          <w:color w:val="auto"/>
          <w:sz w:val="21"/>
          <w:szCs w:val="21"/>
        </w:rPr>
        <w:lastRenderedPageBreak/>
        <w:t>造成的直接损失</w:t>
      </w:r>
      <w:r w:rsidR="000775AC">
        <w:rPr>
          <w:rFonts w:ascii="Arial" w:eastAsia="宋体" w:hAnsi="Arial" w:hint="eastAsia"/>
          <w:color w:val="auto"/>
          <w:sz w:val="21"/>
          <w:szCs w:val="21"/>
        </w:rPr>
        <w:t>。</w:t>
      </w:r>
      <w:r>
        <w:rPr>
          <w:rFonts w:ascii="Arial" w:eastAsia="宋体" w:hAnsi="Arial"/>
          <w:color w:val="auto"/>
          <w:sz w:val="21"/>
          <w:szCs w:val="21"/>
        </w:rPr>
        <w:t>若由于双方原因导致本基金不能依据中国证券登记结算有限责任公司的业务规则及时清算的，双方应按照各自的过错程度对造成的直接损失合理分担责任；</w:t>
      </w:r>
    </w:p>
    <w:p w14:paraId="0002488A" w14:textId="17E2BAD0"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8</w:t>
      </w:r>
      <w:r>
        <w:rPr>
          <w:rFonts w:ascii="Arial" w:eastAsia="宋体" w:hAnsi="Arial"/>
          <w:color w:val="auto"/>
          <w:sz w:val="21"/>
          <w:szCs w:val="21"/>
        </w:rPr>
        <w:t>、在资金交收日，基金资金账户资金首先用于除新股申购以外的其他资金交收义务，交</w:t>
      </w:r>
      <w:proofErr w:type="gramStart"/>
      <w:r>
        <w:rPr>
          <w:rFonts w:ascii="Arial" w:eastAsia="宋体" w:hAnsi="Arial"/>
          <w:color w:val="auto"/>
          <w:sz w:val="21"/>
          <w:szCs w:val="21"/>
        </w:rPr>
        <w:t>收完成</w:t>
      </w:r>
      <w:proofErr w:type="gramEnd"/>
      <w:r>
        <w:rPr>
          <w:rFonts w:ascii="Arial" w:eastAsia="宋体" w:hAnsi="Arial"/>
          <w:color w:val="auto"/>
          <w:sz w:val="21"/>
          <w:szCs w:val="21"/>
        </w:rPr>
        <w:t>后资金余额方可用于新股申购。如果因此资金不足造成新股申购失败或者新股申购不足，基金托管人不承担</w:t>
      </w:r>
      <w:r>
        <w:rPr>
          <w:rFonts w:ascii="Arial" w:eastAsia="宋体" w:hAnsi="Arial" w:hint="eastAsia"/>
          <w:color w:val="auto"/>
          <w:sz w:val="21"/>
          <w:szCs w:val="21"/>
        </w:rPr>
        <w:t>相应</w:t>
      </w:r>
      <w:r>
        <w:rPr>
          <w:rFonts w:ascii="Arial" w:eastAsia="宋体" w:hAnsi="Arial"/>
          <w:color w:val="auto"/>
          <w:sz w:val="21"/>
          <w:szCs w:val="21"/>
        </w:rPr>
        <w:t>责任</w:t>
      </w:r>
      <w:r w:rsidR="004A423B" w:rsidRPr="004A423B">
        <w:rPr>
          <w:rFonts w:ascii="Arial" w:eastAsia="宋体" w:hAnsi="Arial" w:hint="eastAsia"/>
          <w:color w:val="auto"/>
          <w:sz w:val="21"/>
          <w:szCs w:val="21"/>
        </w:rPr>
        <w:t>，但应及时通知基金管理人</w:t>
      </w:r>
      <w:r>
        <w:rPr>
          <w:rFonts w:ascii="Arial" w:eastAsia="宋体" w:hAnsi="Arial"/>
          <w:color w:val="auto"/>
          <w:sz w:val="21"/>
          <w:szCs w:val="21"/>
        </w:rPr>
        <w:t>。</w:t>
      </w:r>
    </w:p>
    <w:p w14:paraId="72A58B08" w14:textId="2256C7ED"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本协议所述责任</w:t>
      </w:r>
      <w:proofErr w:type="gramStart"/>
      <w:r>
        <w:rPr>
          <w:rFonts w:ascii="Arial" w:eastAsia="宋体" w:hAnsi="Arial"/>
          <w:color w:val="auto"/>
          <w:sz w:val="21"/>
          <w:szCs w:val="21"/>
        </w:rPr>
        <w:t>划分仅</w:t>
      </w:r>
      <w:proofErr w:type="gramEnd"/>
      <w:r>
        <w:rPr>
          <w:rFonts w:ascii="Arial" w:eastAsia="宋体" w:hAnsi="Arial"/>
          <w:color w:val="auto"/>
          <w:sz w:val="21"/>
          <w:szCs w:val="21"/>
        </w:rPr>
        <w:t>指基金管理人、基金托管人之间的责任划分，并不影响承担责任</w:t>
      </w:r>
      <w:proofErr w:type="gramStart"/>
      <w:r>
        <w:rPr>
          <w:rFonts w:ascii="Arial" w:eastAsia="宋体" w:hAnsi="Arial"/>
          <w:color w:val="auto"/>
          <w:sz w:val="21"/>
          <w:szCs w:val="21"/>
        </w:rPr>
        <w:t>一</w:t>
      </w:r>
      <w:proofErr w:type="gramEnd"/>
      <w:r>
        <w:rPr>
          <w:rFonts w:ascii="Arial" w:eastAsia="宋体" w:hAnsi="Arial"/>
          <w:color w:val="auto"/>
          <w:sz w:val="21"/>
          <w:szCs w:val="21"/>
        </w:rPr>
        <w:t>方向其他责任方追索的权利。</w:t>
      </w:r>
    </w:p>
    <w:p w14:paraId="53D394E3" w14:textId="26903960" w:rsidR="008247B4" w:rsidRDefault="00612681">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（七）</w:t>
      </w:r>
      <w:r w:rsidR="00CA50F3">
        <w:rPr>
          <w:rFonts w:ascii="Arial" w:eastAsia="宋体" w:hAnsi="Arial"/>
          <w:color w:val="auto"/>
          <w:sz w:val="21"/>
          <w:szCs w:val="21"/>
        </w:rPr>
        <w:t>本协议所</w:t>
      </w:r>
      <w:r w:rsidR="000C4339">
        <w:rPr>
          <w:rFonts w:ascii="Arial" w:eastAsia="宋体" w:hAnsi="Arial" w:hint="eastAsia"/>
          <w:color w:val="auto"/>
          <w:sz w:val="21"/>
          <w:szCs w:val="21"/>
        </w:rPr>
        <w:t>述对任何损失的赔偿，仅限于对直接损失的赔偿。</w:t>
      </w:r>
    </w:p>
    <w:p w14:paraId="7703AE24" w14:textId="77777777" w:rsidR="008247B4" w:rsidRDefault="008247B4">
      <w:pPr>
        <w:pStyle w:val="1f"/>
        <w:spacing w:before="100" w:beforeAutospacing="1" w:after="100" w:afterAutospacing="1"/>
        <w:ind w:firstLine="0"/>
        <w:rPr>
          <w:rFonts w:ascii="Arial" w:eastAsia="宋体" w:hAnsi="Arial"/>
          <w:color w:val="auto"/>
          <w:sz w:val="21"/>
          <w:szCs w:val="21"/>
        </w:rPr>
      </w:pPr>
    </w:p>
    <w:p w14:paraId="633C8793" w14:textId="77777777" w:rsidR="008247B4" w:rsidRDefault="00CA50F3">
      <w:pPr>
        <w:pStyle w:val="116"/>
        <w:spacing w:before="100" w:beforeAutospacing="1" w:after="100" w:afterAutospacing="1" w:line="400" w:lineRule="exact"/>
        <w:ind w:firstLine="422"/>
        <w:rPr>
          <w:rFonts w:ascii="Arial" w:hAnsi="Arial"/>
          <w:sz w:val="21"/>
          <w:szCs w:val="21"/>
        </w:rPr>
      </w:pPr>
      <w:bookmarkStart w:id="48" w:name="_Toc116900112"/>
      <w:bookmarkStart w:id="49" w:name="_Toc202171879"/>
      <w:r>
        <w:rPr>
          <w:rFonts w:ascii="Arial" w:hAnsi="Arial"/>
          <w:sz w:val="21"/>
          <w:szCs w:val="21"/>
        </w:rPr>
        <w:t>十八、适用法律与争议解决</w:t>
      </w:r>
      <w:bookmarkEnd w:id="48"/>
      <w:r>
        <w:rPr>
          <w:rFonts w:ascii="Arial" w:hAnsi="Arial"/>
          <w:sz w:val="21"/>
          <w:szCs w:val="21"/>
        </w:rPr>
        <w:t>方式</w:t>
      </w:r>
      <w:bookmarkEnd w:id="49"/>
    </w:p>
    <w:p w14:paraId="2429ECD8" w14:textId="77777777" w:rsidR="008247B4" w:rsidRDefault="00CA50F3">
      <w:pPr>
        <w:pStyle w:val="1f"/>
        <w:spacing w:before="100" w:beforeAutospacing="1" w:after="100" w:afterAutospacing="1"/>
        <w:ind w:firstLine="403"/>
        <w:rPr>
          <w:rFonts w:ascii="Arial" w:eastAsia="宋体" w:hAnsi="Arial"/>
          <w:color w:val="auto"/>
          <w:sz w:val="21"/>
          <w:szCs w:val="21"/>
        </w:rPr>
      </w:pPr>
      <w:bookmarkStart w:id="50" w:name="OLE_LINK77"/>
      <w:r>
        <w:rPr>
          <w:rFonts w:ascii="Arial" w:eastAsia="宋体" w:hAnsi="Arial"/>
          <w:color w:val="auto"/>
          <w:sz w:val="21"/>
          <w:szCs w:val="21"/>
        </w:rPr>
        <w:t>（一）本协议适用中华人民共和国法律（为本协议之目的，不包括香港特别行政区、澳门特别行政区和台湾地区法律）</w:t>
      </w:r>
      <w:r>
        <w:rPr>
          <w:rFonts w:ascii="Arial" w:eastAsia="宋体" w:hAnsi="Arial" w:hint="eastAsia"/>
          <w:color w:val="auto"/>
          <w:sz w:val="21"/>
          <w:szCs w:val="21"/>
        </w:rPr>
        <w:t>管辖，</w:t>
      </w:r>
      <w:r>
        <w:rPr>
          <w:rFonts w:ascii="Arial" w:eastAsia="宋体" w:hAnsi="Arial"/>
          <w:color w:val="auto"/>
          <w:sz w:val="21"/>
          <w:szCs w:val="21"/>
        </w:rPr>
        <w:t>并从其解释。</w:t>
      </w:r>
    </w:p>
    <w:p w14:paraId="776FD728" w14:textId="36D32079"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（二）基金管理人与基金托管人之间因本协议产生的或与本协议有关的</w:t>
      </w:r>
      <w:r w:rsidR="000C4339">
        <w:rPr>
          <w:rFonts w:ascii="Arial" w:eastAsia="宋体" w:hAnsi="Arial" w:hint="eastAsia"/>
          <w:color w:val="auto"/>
          <w:sz w:val="21"/>
          <w:szCs w:val="21"/>
        </w:rPr>
        <w:t>一切</w:t>
      </w:r>
      <w:r>
        <w:rPr>
          <w:rFonts w:ascii="Arial" w:eastAsia="宋体" w:hAnsi="Arial"/>
          <w:color w:val="auto"/>
          <w:sz w:val="21"/>
          <w:szCs w:val="21"/>
        </w:rPr>
        <w:t>争议</w:t>
      </w:r>
      <w:r w:rsidR="000C4339">
        <w:rPr>
          <w:rFonts w:ascii="Arial" w:eastAsia="宋体" w:hAnsi="Arial" w:hint="eastAsia"/>
          <w:color w:val="auto"/>
          <w:sz w:val="21"/>
          <w:szCs w:val="21"/>
        </w:rPr>
        <w:t>，各方当事人应尽量通过协商、</w:t>
      </w:r>
      <w:r>
        <w:rPr>
          <w:rFonts w:ascii="Arial" w:eastAsia="宋体" w:hAnsi="Arial"/>
          <w:color w:val="auto"/>
          <w:sz w:val="21"/>
          <w:szCs w:val="21"/>
        </w:rPr>
        <w:t>调解解决。协商、调解</w:t>
      </w:r>
      <w:r w:rsidR="000C4339">
        <w:rPr>
          <w:rFonts w:ascii="Arial" w:eastAsia="宋体" w:hAnsi="Arial" w:hint="eastAsia"/>
          <w:color w:val="auto"/>
          <w:sz w:val="21"/>
          <w:szCs w:val="21"/>
        </w:rPr>
        <w:t>不能解决的</w:t>
      </w:r>
      <w:r>
        <w:rPr>
          <w:rFonts w:ascii="Arial" w:eastAsia="宋体" w:hAnsi="Arial"/>
          <w:color w:val="auto"/>
          <w:sz w:val="21"/>
          <w:szCs w:val="21"/>
        </w:rPr>
        <w:t>，</w:t>
      </w:r>
      <w:r w:rsidR="000C4339">
        <w:rPr>
          <w:rFonts w:ascii="Arial" w:eastAsia="宋体" w:hAnsi="Arial" w:hint="eastAsia"/>
          <w:color w:val="auto"/>
          <w:sz w:val="21"/>
          <w:szCs w:val="21"/>
        </w:rPr>
        <w:t>应当</w:t>
      </w:r>
      <w:r>
        <w:rPr>
          <w:rFonts w:ascii="Arial" w:eastAsia="宋体" w:hAnsi="Arial"/>
          <w:color w:val="auto"/>
          <w:sz w:val="21"/>
          <w:szCs w:val="21"/>
        </w:rPr>
        <w:t>将争议提交中国国际经济贸易仲裁委员会，并按</w:t>
      </w:r>
      <w:r w:rsidR="000C4339" w:rsidRPr="000C4339">
        <w:rPr>
          <w:rFonts w:ascii="Arial" w:eastAsia="宋体" w:hAnsi="Arial" w:hint="eastAsia"/>
          <w:color w:val="auto"/>
          <w:sz w:val="21"/>
          <w:szCs w:val="21"/>
        </w:rPr>
        <w:t>中国国际经济贸易仲裁委员会</w:t>
      </w:r>
      <w:r>
        <w:rPr>
          <w:rFonts w:ascii="Arial" w:eastAsia="宋体" w:hAnsi="Arial"/>
          <w:color w:val="auto"/>
          <w:sz w:val="21"/>
          <w:szCs w:val="21"/>
        </w:rPr>
        <w:t>届时有效的仲裁规则进行仲裁。</w:t>
      </w:r>
      <w:r w:rsidR="000C4339" w:rsidRPr="000C4339">
        <w:rPr>
          <w:rFonts w:ascii="Arial" w:eastAsia="宋体" w:hAnsi="Arial" w:hint="eastAsia"/>
          <w:color w:val="auto"/>
          <w:sz w:val="21"/>
          <w:szCs w:val="21"/>
        </w:rPr>
        <w:t>仲裁地点为北京市。</w:t>
      </w:r>
      <w:r>
        <w:rPr>
          <w:rFonts w:ascii="Arial" w:eastAsia="宋体" w:hAnsi="Arial"/>
          <w:color w:val="auto"/>
          <w:sz w:val="21"/>
          <w:szCs w:val="21"/>
        </w:rPr>
        <w:t>仲裁裁决是终局的，对仲裁</w:t>
      </w:r>
      <w:r w:rsidR="000156C2">
        <w:rPr>
          <w:rFonts w:ascii="Arial" w:eastAsia="宋体" w:hAnsi="Arial" w:hint="eastAsia"/>
          <w:color w:val="auto"/>
          <w:sz w:val="21"/>
          <w:szCs w:val="21"/>
        </w:rPr>
        <w:t>各方</w:t>
      </w:r>
      <w:r>
        <w:rPr>
          <w:rFonts w:ascii="Arial" w:eastAsia="宋体" w:hAnsi="Arial"/>
          <w:color w:val="auto"/>
          <w:sz w:val="21"/>
          <w:szCs w:val="21"/>
        </w:rPr>
        <w:t>当事人均具有约束力。</w:t>
      </w:r>
      <w:r>
        <w:rPr>
          <w:rFonts w:ascii="Arial" w:eastAsia="宋体" w:hAnsi="Arial"/>
          <w:bCs/>
          <w:color w:val="auto"/>
          <w:sz w:val="21"/>
          <w:szCs w:val="21"/>
        </w:rPr>
        <w:t>仲裁费用</w:t>
      </w:r>
      <w:r w:rsidR="000156C2">
        <w:rPr>
          <w:rFonts w:ascii="Arial" w:eastAsia="宋体" w:hAnsi="Arial" w:hint="eastAsia"/>
          <w:bCs/>
          <w:color w:val="auto"/>
          <w:sz w:val="21"/>
          <w:szCs w:val="21"/>
        </w:rPr>
        <w:t>、律师费用</w:t>
      </w:r>
      <w:r>
        <w:rPr>
          <w:rFonts w:ascii="Arial" w:eastAsia="宋体" w:hAnsi="Arial"/>
          <w:bCs/>
          <w:color w:val="auto"/>
          <w:sz w:val="21"/>
          <w:szCs w:val="21"/>
        </w:rPr>
        <w:t>由败诉方承担，除非仲裁裁决另有决定。</w:t>
      </w:r>
    </w:p>
    <w:p w14:paraId="57470425" w14:textId="70E9C415" w:rsidR="000156C2"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（三）</w:t>
      </w:r>
      <w:r w:rsidR="000156C2" w:rsidRPr="000156C2">
        <w:rPr>
          <w:rFonts w:ascii="Arial" w:eastAsia="宋体" w:hAnsi="Arial" w:hint="eastAsia"/>
          <w:color w:val="auto"/>
          <w:sz w:val="21"/>
          <w:szCs w:val="21"/>
        </w:rPr>
        <w:t>争议处理期间，各方当事人应恪守各自的职责，继续忠实、勤勉、尽责地履行</w:t>
      </w:r>
      <w:r w:rsidR="000156C2">
        <w:rPr>
          <w:rFonts w:ascii="Arial" w:eastAsia="宋体" w:hAnsi="Arial" w:hint="eastAsia"/>
          <w:color w:val="auto"/>
          <w:sz w:val="21"/>
          <w:szCs w:val="21"/>
        </w:rPr>
        <w:t>本协议</w:t>
      </w:r>
      <w:r w:rsidR="000156C2" w:rsidRPr="000156C2">
        <w:rPr>
          <w:rFonts w:ascii="Arial" w:eastAsia="宋体" w:hAnsi="Arial" w:hint="eastAsia"/>
          <w:color w:val="auto"/>
          <w:sz w:val="21"/>
          <w:szCs w:val="21"/>
        </w:rPr>
        <w:t>规定的义务，维护基金份额持有人的合法权益。</w:t>
      </w:r>
    </w:p>
    <w:p w14:paraId="189E1EAE" w14:textId="03C6DCFE" w:rsidR="008247B4" w:rsidRDefault="000156C2">
      <w:pPr>
        <w:pStyle w:val="1f"/>
        <w:spacing w:before="100" w:beforeAutospacing="1" w:after="100" w:afterAutospacing="1"/>
        <w:ind w:firstLine="403"/>
        <w:rPr>
          <w:rFonts w:ascii="Arial" w:eastAsia="宋体" w:hAnsi="Arial"/>
          <w:color w:val="auto"/>
          <w:sz w:val="21"/>
          <w:szCs w:val="21"/>
        </w:rPr>
      </w:pPr>
      <w:r>
        <w:rPr>
          <w:rFonts w:ascii="Arial" w:eastAsia="宋体" w:hAnsi="Arial" w:hint="eastAsia"/>
          <w:color w:val="auto"/>
          <w:sz w:val="21"/>
          <w:szCs w:val="21"/>
        </w:rPr>
        <w:t>（四）</w:t>
      </w:r>
      <w:r w:rsidR="00CA50F3">
        <w:rPr>
          <w:rFonts w:ascii="Arial" w:eastAsia="宋体" w:hAnsi="Arial"/>
          <w:color w:val="auto"/>
          <w:sz w:val="21"/>
          <w:szCs w:val="21"/>
        </w:rPr>
        <w:t>除争议所涉的内容之外，本协议的当事人仍应履行本协议的其他规定。</w:t>
      </w:r>
      <w:bookmarkEnd w:id="50"/>
    </w:p>
    <w:p w14:paraId="050BCA83" w14:textId="77777777" w:rsidR="008247B4" w:rsidRDefault="008247B4">
      <w:pPr>
        <w:pStyle w:val="1f"/>
        <w:spacing w:before="100" w:beforeAutospacing="1" w:after="100" w:afterAutospacing="1"/>
        <w:ind w:firstLine="403"/>
        <w:rPr>
          <w:rFonts w:ascii="Arial" w:eastAsia="宋体" w:hAnsi="Arial"/>
          <w:color w:val="auto"/>
          <w:sz w:val="21"/>
          <w:szCs w:val="21"/>
        </w:rPr>
      </w:pPr>
    </w:p>
    <w:p w14:paraId="3064BA24" w14:textId="77777777" w:rsidR="008247B4" w:rsidRDefault="00CA50F3">
      <w:pPr>
        <w:pStyle w:val="116"/>
        <w:spacing w:before="100" w:beforeAutospacing="1" w:after="100" w:afterAutospacing="1" w:line="400" w:lineRule="exact"/>
        <w:ind w:firstLine="422"/>
        <w:rPr>
          <w:rFonts w:ascii="Arial" w:hAnsi="Arial"/>
          <w:sz w:val="21"/>
          <w:szCs w:val="21"/>
        </w:rPr>
      </w:pPr>
      <w:bookmarkStart w:id="51" w:name="_Toc116900113"/>
      <w:bookmarkStart w:id="52" w:name="_Toc202171880"/>
      <w:r>
        <w:rPr>
          <w:rFonts w:ascii="Arial" w:hAnsi="Arial"/>
          <w:sz w:val="21"/>
          <w:szCs w:val="21"/>
        </w:rPr>
        <w:t>十九、托管协议的效力</w:t>
      </w:r>
      <w:bookmarkEnd w:id="51"/>
      <w:bookmarkEnd w:id="52"/>
    </w:p>
    <w:p w14:paraId="2345B38C" w14:textId="0FA9ED44"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（一）基金管理人在向中国证监会申请发售基金份额时提交的基金托管协议草案，应经托管协议双方当事人的法定代表人或授权代表签字</w:t>
      </w:r>
      <w:r w:rsidR="00694A26">
        <w:rPr>
          <w:rFonts w:ascii="Arial" w:hAnsi="Arial" w:hint="eastAsia"/>
          <w:szCs w:val="21"/>
        </w:rPr>
        <w:t>/</w:t>
      </w:r>
      <w:r w:rsidR="00694A26">
        <w:rPr>
          <w:rFonts w:ascii="Arial" w:hAnsi="Arial" w:hint="eastAsia"/>
          <w:szCs w:val="21"/>
        </w:rPr>
        <w:t>盖章</w:t>
      </w:r>
      <w:r>
        <w:rPr>
          <w:rFonts w:ascii="Arial" w:hAnsi="Arial"/>
          <w:szCs w:val="21"/>
        </w:rPr>
        <w:t>并加盖公章，协议当事人双方</w:t>
      </w:r>
      <w:r w:rsidR="00694A26">
        <w:rPr>
          <w:rFonts w:ascii="Arial" w:hAnsi="Arial" w:hint="eastAsia"/>
          <w:szCs w:val="21"/>
        </w:rPr>
        <w:t>可能不时</w:t>
      </w:r>
      <w:r>
        <w:rPr>
          <w:rFonts w:ascii="Arial" w:hAnsi="Arial"/>
          <w:szCs w:val="21"/>
        </w:rPr>
        <w:t>根据中国证监会的意见修改托管协议草案。托管协议以中国证监会注册的文本为正式文本。</w:t>
      </w:r>
    </w:p>
    <w:p w14:paraId="4405CBBD"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lastRenderedPageBreak/>
        <w:t>（二）本协议自双方签署之日起成立，自《基金合同》生效之日起生效。本协议的有效期自其生效之日起至基金财产清算结果报中国证监会备案并公告之日止。</w:t>
      </w:r>
    </w:p>
    <w:p w14:paraId="2D65EF3F" w14:textId="77777777" w:rsidR="008247B4" w:rsidRDefault="00CA50F3">
      <w:pPr>
        <w:pStyle w:val="15"/>
        <w:spacing w:before="100" w:beforeAutospacing="1" w:after="100" w:afterAutospacing="1" w:line="400" w:lineRule="exact"/>
        <w:ind w:firstLine="420"/>
        <w:rPr>
          <w:rFonts w:ascii="Arial" w:hAnsi="Arial"/>
          <w:szCs w:val="21"/>
        </w:rPr>
      </w:pPr>
      <w:r>
        <w:rPr>
          <w:rFonts w:ascii="Arial" w:hAnsi="Arial"/>
          <w:szCs w:val="21"/>
        </w:rPr>
        <w:t>（三）本协议自生效之日起对双方当事人具有同等的法律约束力。</w:t>
      </w:r>
    </w:p>
    <w:p w14:paraId="3A9818B5" w14:textId="77777777" w:rsidR="008247B4" w:rsidRDefault="00CA50F3">
      <w:pPr>
        <w:pStyle w:val="1f"/>
        <w:spacing w:before="100" w:beforeAutospacing="1" w:after="100" w:afterAutospacing="1"/>
        <w:ind w:firstLine="403"/>
        <w:rPr>
          <w:rFonts w:ascii="Arial" w:eastAsia="宋体" w:hAnsi="Arial"/>
          <w:color w:val="auto"/>
          <w:sz w:val="21"/>
          <w:szCs w:val="21"/>
        </w:rPr>
      </w:pPr>
      <w:r>
        <w:rPr>
          <w:rFonts w:ascii="Arial" w:eastAsia="宋体" w:hAnsi="Arial"/>
          <w:color w:val="auto"/>
          <w:sz w:val="21"/>
          <w:szCs w:val="21"/>
        </w:rPr>
        <w:t>（四）本协议正本一式三份，协议双方各执一份，上报中国证监会一份，每份具有同等法律效力。</w:t>
      </w:r>
      <w:bookmarkStart w:id="53" w:name="_Toc116900116"/>
    </w:p>
    <w:p w14:paraId="77F8A2E7" w14:textId="77777777" w:rsidR="008247B4" w:rsidRDefault="008247B4">
      <w:pPr>
        <w:pStyle w:val="1f"/>
        <w:spacing w:before="100" w:beforeAutospacing="1" w:after="100" w:afterAutospacing="1"/>
        <w:rPr>
          <w:rFonts w:ascii="Arial" w:eastAsia="宋体" w:hAnsi="Arial"/>
          <w:color w:val="auto"/>
        </w:rPr>
      </w:pPr>
    </w:p>
    <w:p w14:paraId="188E7F3E" w14:textId="77777777" w:rsidR="008247B4" w:rsidRDefault="00CA50F3">
      <w:pPr>
        <w:pStyle w:val="116"/>
        <w:spacing w:before="100" w:beforeAutospacing="1" w:after="100" w:afterAutospacing="1" w:line="400" w:lineRule="exact"/>
        <w:ind w:firstLine="422"/>
        <w:rPr>
          <w:rFonts w:ascii="Arial" w:hAnsi="Arial"/>
          <w:sz w:val="21"/>
          <w:szCs w:val="21"/>
        </w:rPr>
      </w:pPr>
      <w:bookmarkStart w:id="54" w:name="_Toc202171881"/>
      <w:r>
        <w:rPr>
          <w:rFonts w:ascii="Arial" w:hAnsi="Arial"/>
          <w:sz w:val="21"/>
          <w:szCs w:val="21"/>
        </w:rPr>
        <w:t>二十、托管协议</w:t>
      </w:r>
      <w:bookmarkEnd w:id="53"/>
      <w:r>
        <w:rPr>
          <w:rFonts w:ascii="Arial" w:hAnsi="Arial"/>
          <w:sz w:val="21"/>
          <w:szCs w:val="21"/>
        </w:rPr>
        <w:t>的签订</w:t>
      </w:r>
      <w:bookmarkEnd w:id="54"/>
    </w:p>
    <w:p w14:paraId="2DB422CD" w14:textId="77777777" w:rsidR="008247B4" w:rsidRDefault="00CA50F3">
      <w:pPr>
        <w:pStyle w:val="1f"/>
        <w:spacing w:before="100" w:beforeAutospacing="1" w:after="100" w:afterAutospacing="1"/>
        <w:ind w:firstLine="403"/>
        <w:rPr>
          <w:rFonts w:ascii="Arial" w:eastAsia="宋体" w:hAnsi="Arial"/>
          <w:color w:val="auto"/>
          <w:sz w:val="21"/>
          <w:szCs w:val="21"/>
        </w:rPr>
      </w:pPr>
      <w:proofErr w:type="gramStart"/>
      <w:r>
        <w:rPr>
          <w:rFonts w:ascii="Arial" w:eastAsia="宋体" w:hAnsi="Arial"/>
          <w:color w:val="auto"/>
          <w:sz w:val="21"/>
          <w:szCs w:val="21"/>
        </w:rPr>
        <w:t>见签署页</w:t>
      </w:r>
      <w:proofErr w:type="gramEnd"/>
      <w:r>
        <w:rPr>
          <w:rFonts w:ascii="Arial" w:eastAsia="宋体" w:hAnsi="Arial"/>
          <w:color w:val="auto"/>
          <w:sz w:val="21"/>
          <w:szCs w:val="21"/>
        </w:rPr>
        <w:t>。</w:t>
      </w:r>
    </w:p>
    <w:p w14:paraId="71BAEE95" w14:textId="560C5D85" w:rsidR="00CB7EC4" w:rsidRDefault="00CA50F3" w:rsidP="00CB7EC4">
      <w:pPr>
        <w:pStyle w:val="15"/>
        <w:spacing w:line="360" w:lineRule="auto"/>
        <w:rPr>
          <w:rFonts w:ascii="Arial" w:hAnsi="Arial"/>
          <w:bCs/>
          <w:sz w:val="24"/>
        </w:rPr>
      </w:pPr>
      <w:r>
        <w:rPr>
          <w:rFonts w:ascii="Arial" w:hAnsi="Arial"/>
          <w:bCs/>
          <w:sz w:val="24"/>
        </w:rPr>
        <w:br w:type="page"/>
      </w:r>
      <w:r w:rsidR="00CB7EC4" w:rsidRPr="00CB7EC4">
        <w:rPr>
          <w:rFonts w:ascii="Arial" w:hAnsi="Arial" w:hint="eastAsia"/>
          <w:bCs/>
          <w:sz w:val="24"/>
        </w:rPr>
        <w:lastRenderedPageBreak/>
        <w:t>（本页无正文，为《嘉实恒指港股通交易型开放式指数证券投资基金</w:t>
      </w:r>
      <w:r w:rsidR="00CB7EC4">
        <w:rPr>
          <w:rFonts w:ascii="Arial" w:hAnsi="Arial" w:hint="eastAsia"/>
          <w:bCs/>
          <w:sz w:val="24"/>
        </w:rPr>
        <w:t>托管协议</w:t>
      </w:r>
      <w:r w:rsidR="00CB7EC4" w:rsidRPr="00CB7EC4">
        <w:rPr>
          <w:rFonts w:ascii="Arial" w:hAnsi="Arial" w:hint="eastAsia"/>
          <w:bCs/>
          <w:sz w:val="24"/>
        </w:rPr>
        <w:t>》签署页）</w:t>
      </w:r>
    </w:p>
    <w:p w14:paraId="2354B962" w14:textId="41D83524" w:rsidR="00CB7EC4" w:rsidRDefault="00CB7EC4" w:rsidP="00CB7EC4">
      <w:pPr>
        <w:pStyle w:val="15"/>
        <w:spacing w:line="360" w:lineRule="auto"/>
        <w:rPr>
          <w:rFonts w:ascii="Arial" w:hAnsi="Arial"/>
          <w:bCs/>
          <w:sz w:val="24"/>
        </w:rPr>
      </w:pPr>
    </w:p>
    <w:p w14:paraId="1E7B8371" w14:textId="131A11FE" w:rsidR="00CB7EC4" w:rsidRDefault="00CB7EC4" w:rsidP="00CB7EC4">
      <w:pPr>
        <w:pStyle w:val="15"/>
        <w:spacing w:line="360" w:lineRule="auto"/>
        <w:rPr>
          <w:rFonts w:ascii="Arial" w:hAnsi="Arial"/>
          <w:bCs/>
          <w:sz w:val="24"/>
        </w:rPr>
      </w:pPr>
    </w:p>
    <w:p w14:paraId="6A30EF06" w14:textId="77777777" w:rsidR="00CB7EC4" w:rsidRPr="00CB7EC4" w:rsidRDefault="00CB7EC4" w:rsidP="00CB7EC4">
      <w:pPr>
        <w:pStyle w:val="15"/>
        <w:spacing w:line="360" w:lineRule="auto"/>
        <w:rPr>
          <w:rFonts w:ascii="Arial" w:hAnsi="Arial"/>
          <w:bCs/>
          <w:sz w:val="24"/>
        </w:rPr>
      </w:pPr>
    </w:p>
    <w:p w14:paraId="2B5FC3E4" w14:textId="77777777" w:rsidR="00CB7EC4" w:rsidRPr="00DF6F17" w:rsidRDefault="00CB7EC4" w:rsidP="00CB7EC4">
      <w:pPr>
        <w:pStyle w:val="15"/>
        <w:spacing w:line="360" w:lineRule="auto"/>
        <w:rPr>
          <w:rFonts w:ascii="Arial" w:hAnsi="Arial"/>
          <w:b/>
          <w:bCs/>
          <w:sz w:val="24"/>
        </w:rPr>
      </w:pPr>
    </w:p>
    <w:p w14:paraId="13EABBC0" w14:textId="77777777" w:rsidR="00CB7EC4" w:rsidRPr="00DF6F17" w:rsidRDefault="00CB7EC4" w:rsidP="00CB7EC4">
      <w:pPr>
        <w:pStyle w:val="15"/>
        <w:spacing w:line="360" w:lineRule="auto"/>
        <w:rPr>
          <w:rFonts w:ascii="Arial" w:hAnsi="Arial"/>
          <w:b/>
          <w:bCs/>
          <w:sz w:val="24"/>
        </w:rPr>
      </w:pPr>
      <w:r w:rsidRPr="00DF6F17">
        <w:rPr>
          <w:rFonts w:ascii="Arial" w:hAnsi="Arial" w:hint="eastAsia"/>
          <w:b/>
          <w:bCs/>
          <w:sz w:val="24"/>
        </w:rPr>
        <w:t>基金管理人：嘉</w:t>
      </w:r>
      <w:proofErr w:type="gramStart"/>
      <w:r w:rsidRPr="00DF6F17">
        <w:rPr>
          <w:rFonts w:ascii="Arial" w:hAnsi="Arial" w:hint="eastAsia"/>
          <w:b/>
          <w:bCs/>
          <w:sz w:val="24"/>
        </w:rPr>
        <w:t>实基金</w:t>
      </w:r>
      <w:proofErr w:type="gramEnd"/>
      <w:r w:rsidRPr="00DF6F17">
        <w:rPr>
          <w:rFonts w:ascii="Arial" w:hAnsi="Arial" w:hint="eastAsia"/>
          <w:b/>
          <w:bCs/>
          <w:sz w:val="24"/>
        </w:rPr>
        <w:t>管理有限公司</w:t>
      </w:r>
    </w:p>
    <w:p w14:paraId="2F3177E3" w14:textId="77777777" w:rsidR="00CB7EC4" w:rsidRPr="00DF6F17" w:rsidRDefault="00CB7EC4" w:rsidP="00CB7EC4">
      <w:pPr>
        <w:pStyle w:val="15"/>
        <w:spacing w:line="360" w:lineRule="auto"/>
        <w:rPr>
          <w:rFonts w:ascii="Arial" w:hAnsi="Arial"/>
          <w:b/>
          <w:bCs/>
          <w:sz w:val="24"/>
        </w:rPr>
      </w:pPr>
    </w:p>
    <w:p w14:paraId="17D10FB7" w14:textId="77777777" w:rsidR="00CB7EC4" w:rsidRPr="00DF6F17" w:rsidRDefault="00CB7EC4" w:rsidP="00CB7EC4">
      <w:pPr>
        <w:pStyle w:val="15"/>
        <w:spacing w:line="360" w:lineRule="auto"/>
        <w:rPr>
          <w:rFonts w:ascii="Arial" w:hAnsi="Arial"/>
          <w:b/>
          <w:bCs/>
          <w:sz w:val="24"/>
        </w:rPr>
      </w:pPr>
      <w:r w:rsidRPr="00DF6F17">
        <w:rPr>
          <w:rFonts w:ascii="Arial" w:hAnsi="Arial" w:hint="eastAsia"/>
          <w:b/>
          <w:bCs/>
          <w:sz w:val="24"/>
        </w:rPr>
        <w:t>法定代表人或授权代表：</w:t>
      </w:r>
    </w:p>
    <w:p w14:paraId="4A54A790" w14:textId="77777777" w:rsidR="00CB7EC4" w:rsidRPr="00DF6F17" w:rsidRDefault="00CB7EC4" w:rsidP="00CB7EC4">
      <w:pPr>
        <w:pStyle w:val="15"/>
        <w:spacing w:line="360" w:lineRule="auto"/>
        <w:rPr>
          <w:rFonts w:ascii="Arial" w:hAnsi="Arial"/>
          <w:b/>
          <w:bCs/>
          <w:sz w:val="24"/>
        </w:rPr>
      </w:pPr>
    </w:p>
    <w:p w14:paraId="2CAD0F1D" w14:textId="77777777" w:rsidR="00CB7EC4" w:rsidRPr="00DF6F17" w:rsidRDefault="00CB7EC4" w:rsidP="00CB7EC4">
      <w:pPr>
        <w:pStyle w:val="15"/>
        <w:spacing w:line="360" w:lineRule="auto"/>
        <w:rPr>
          <w:rFonts w:ascii="Arial" w:hAnsi="Arial"/>
          <w:b/>
          <w:bCs/>
          <w:sz w:val="24"/>
        </w:rPr>
      </w:pPr>
      <w:r w:rsidRPr="00DF6F17">
        <w:rPr>
          <w:rFonts w:ascii="Arial" w:hAnsi="Arial" w:hint="eastAsia"/>
          <w:b/>
          <w:bCs/>
          <w:sz w:val="24"/>
        </w:rPr>
        <w:t>签订日：</w:t>
      </w:r>
    </w:p>
    <w:p w14:paraId="0629902C" w14:textId="77777777" w:rsidR="00CB7EC4" w:rsidRPr="00DF6F17" w:rsidRDefault="00CB7EC4" w:rsidP="00CB7EC4">
      <w:pPr>
        <w:pStyle w:val="15"/>
        <w:spacing w:line="360" w:lineRule="auto"/>
        <w:rPr>
          <w:rFonts w:ascii="Arial" w:hAnsi="Arial"/>
          <w:b/>
          <w:bCs/>
          <w:sz w:val="24"/>
        </w:rPr>
      </w:pPr>
      <w:r w:rsidRPr="00DF6F17">
        <w:rPr>
          <w:rFonts w:ascii="Arial" w:hAnsi="Arial" w:hint="eastAsia"/>
          <w:b/>
          <w:bCs/>
          <w:sz w:val="24"/>
        </w:rPr>
        <w:t>签订地：北京</w:t>
      </w:r>
    </w:p>
    <w:p w14:paraId="038CAA26" w14:textId="34480F01" w:rsidR="00CB7EC4" w:rsidRDefault="00CB7EC4" w:rsidP="00CB7EC4">
      <w:pPr>
        <w:pStyle w:val="15"/>
        <w:spacing w:line="360" w:lineRule="auto"/>
        <w:rPr>
          <w:rFonts w:ascii="Arial" w:hAnsi="Arial"/>
          <w:b/>
          <w:bCs/>
          <w:sz w:val="24"/>
        </w:rPr>
      </w:pPr>
    </w:p>
    <w:p w14:paraId="4B74699C" w14:textId="4DF2A494" w:rsidR="00CB7EC4" w:rsidRDefault="00CB7EC4" w:rsidP="00CB7EC4">
      <w:pPr>
        <w:pStyle w:val="15"/>
        <w:spacing w:line="360" w:lineRule="auto"/>
        <w:rPr>
          <w:rFonts w:ascii="Arial" w:hAnsi="Arial"/>
          <w:b/>
          <w:bCs/>
          <w:sz w:val="24"/>
        </w:rPr>
      </w:pPr>
    </w:p>
    <w:p w14:paraId="70A0B0A8" w14:textId="46EEF122" w:rsidR="00CB7EC4" w:rsidRDefault="00CB7EC4" w:rsidP="00CB7EC4">
      <w:pPr>
        <w:pStyle w:val="15"/>
        <w:spacing w:line="360" w:lineRule="auto"/>
        <w:rPr>
          <w:rFonts w:ascii="Arial" w:hAnsi="Arial"/>
          <w:b/>
          <w:bCs/>
          <w:sz w:val="24"/>
        </w:rPr>
      </w:pPr>
    </w:p>
    <w:p w14:paraId="57A586FB" w14:textId="638BE85A" w:rsidR="00CB7EC4" w:rsidRDefault="00CB7EC4" w:rsidP="00CB7EC4">
      <w:pPr>
        <w:pStyle w:val="15"/>
        <w:spacing w:line="360" w:lineRule="auto"/>
        <w:rPr>
          <w:rFonts w:ascii="Arial" w:hAnsi="Arial"/>
          <w:b/>
          <w:bCs/>
          <w:sz w:val="24"/>
        </w:rPr>
      </w:pPr>
    </w:p>
    <w:p w14:paraId="095DC08E" w14:textId="77777777" w:rsidR="00CB7EC4" w:rsidRPr="00DF6F17" w:rsidRDefault="00CB7EC4" w:rsidP="00CB7EC4">
      <w:pPr>
        <w:pStyle w:val="15"/>
        <w:spacing w:line="360" w:lineRule="auto"/>
        <w:rPr>
          <w:rFonts w:ascii="Arial" w:hAnsi="Arial"/>
          <w:b/>
          <w:bCs/>
          <w:sz w:val="24"/>
        </w:rPr>
      </w:pPr>
    </w:p>
    <w:p w14:paraId="46683631" w14:textId="77777777" w:rsidR="00CB7EC4" w:rsidRPr="00DF6F17" w:rsidRDefault="00CB7EC4" w:rsidP="00CB7EC4">
      <w:pPr>
        <w:pStyle w:val="15"/>
        <w:spacing w:line="360" w:lineRule="auto"/>
        <w:rPr>
          <w:rFonts w:ascii="Arial" w:hAnsi="Arial"/>
          <w:b/>
          <w:bCs/>
          <w:sz w:val="24"/>
        </w:rPr>
      </w:pPr>
    </w:p>
    <w:p w14:paraId="26F3CD18" w14:textId="77777777" w:rsidR="00CB7EC4" w:rsidRPr="00DF6F17" w:rsidRDefault="00CB7EC4" w:rsidP="00CB7EC4">
      <w:pPr>
        <w:pStyle w:val="15"/>
        <w:spacing w:line="360" w:lineRule="auto"/>
        <w:rPr>
          <w:rFonts w:ascii="Arial" w:hAnsi="Arial"/>
          <w:b/>
          <w:bCs/>
          <w:sz w:val="24"/>
        </w:rPr>
      </w:pPr>
      <w:r w:rsidRPr="00DF6F17">
        <w:rPr>
          <w:rFonts w:ascii="Arial" w:hAnsi="Arial" w:hint="eastAsia"/>
          <w:b/>
          <w:bCs/>
          <w:sz w:val="24"/>
        </w:rPr>
        <w:t>基金托管人：国金证券股份有限公司</w:t>
      </w:r>
    </w:p>
    <w:p w14:paraId="720FDCA5" w14:textId="77777777" w:rsidR="00CB7EC4" w:rsidRPr="00DF6F17" w:rsidRDefault="00CB7EC4" w:rsidP="00CB7EC4">
      <w:pPr>
        <w:pStyle w:val="15"/>
        <w:spacing w:line="360" w:lineRule="auto"/>
        <w:rPr>
          <w:rFonts w:ascii="Arial" w:hAnsi="Arial"/>
          <w:b/>
          <w:bCs/>
          <w:sz w:val="24"/>
        </w:rPr>
      </w:pPr>
    </w:p>
    <w:p w14:paraId="6590985B" w14:textId="77777777" w:rsidR="00CB7EC4" w:rsidRPr="00DF6F17" w:rsidRDefault="00CB7EC4" w:rsidP="00CB7EC4">
      <w:pPr>
        <w:pStyle w:val="15"/>
        <w:spacing w:line="360" w:lineRule="auto"/>
        <w:rPr>
          <w:rFonts w:ascii="Arial" w:hAnsi="Arial"/>
          <w:b/>
          <w:bCs/>
          <w:sz w:val="24"/>
        </w:rPr>
      </w:pPr>
      <w:r w:rsidRPr="00DF6F17">
        <w:rPr>
          <w:rFonts w:ascii="Arial" w:hAnsi="Arial" w:hint="eastAsia"/>
          <w:b/>
          <w:bCs/>
          <w:sz w:val="24"/>
        </w:rPr>
        <w:t>法定代表人或授权代表：</w:t>
      </w:r>
    </w:p>
    <w:p w14:paraId="7731C2FB" w14:textId="77777777" w:rsidR="00CB7EC4" w:rsidRPr="00DF6F17" w:rsidRDefault="00CB7EC4" w:rsidP="00CB7EC4">
      <w:pPr>
        <w:pStyle w:val="15"/>
        <w:spacing w:line="360" w:lineRule="auto"/>
        <w:rPr>
          <w:rFonts w:ascii="Arial" w:hAnsi="Arial"/>
          <w:b/>
          <w:bCs/>
          <w:sz w:val="24"/>
        </w:rPr>
      </w:pPr>
    </w:p>
    <w:p w14:paraId="4B1214EA" w14:textId="77777777" w:rsidR="00CB7EC4" w:rsidRPr="00DF6F17" w:rsidRDefault="00CB7EC4" w:rsidP="00CB7EC4">
      <w:pPr>
        <w:pStyle w:val="15"/>
        <w:spacing w:line="360" w:lineRule="auto"/>
        <w:rPr>
          <w:rFonts w:ascii="Arial" w:hAnsi="Arial"/>
          <w:b/>
          <w:bCs/>
          <w:sz w:val="24"/>
        </w:rPr>
      </w:pPr>
      <w:r w:rsidRPr="00DF6F17">
        <w:rPr>
          <w:rFonts w:ascii="Arial" w:hAnsi="Arial" w:hint="eastAsia"/>
          <w:b/>
          <w:bCs/>
          <w:sz w:val="24"/>
        </w:rPr>
        <w:t>签订日：</w:t>
      </w:r>
    </w:p>
    <w:p w14:paraId="0FB9270F" w14:textId="11B4467A" w:rsidR="00CB7EC4" w:rsidRPr="00DF6F17" w:rsidRDefault="00CB7EC4" w:rsidP="00CB7EC4">
      <w:pPr>
        <w:pStyle w:val="15"/>
        <w:spacing w:line="360" w:lineRule="auto"/>
        <w:rPr>
          <w:rFonts w:ascii="Arial" w:hAnsi="Arial"/>
          <w:b/>
          <w:bCs/>
          <w:sz w:val="24"/>
        </w:rPr>
      </w:pPr>
      <w:r w:rsidRPr="00DF6F17">
        <w:rPr>
          <w:rFonts w:ascii="Arial" w:hAnsi="Arial" w:hint="eastAsia"/>
          <w:b/>
          <w:bCs/>
          <w:sz w:val="24"/>
        </w:rPr>
        <w:t>签订地：</w:t>
      </w:r>
    </w:p>
    <w:bookmarkEnd w:id="0"/>
    <w:bookmarkEnd w:id="1"/>
    <w:bookmarkEnd w:id="2"/>
    <w:p w14:paraId="5FEE97D2" w14:textId="626CEC0C" w:rsidR="008247B4" w:rsidRPr="00CD4EA8" w:rsidRDefault="008247B4">
      <w:pPr>
        <w:pStyle w:val="15"/>
        <w:spacing w:line="360" w:lineRule="auto"/>
        <w:rPr>
          <w:rFonts w:ascii="Arial" w:hAnsi="Arial"/>
          <w:bCs/>
        </w:rPr>
      </w:pPr>
    </w:p>
    <w:sectPr w:rsidR="008247B4" w:rsidRPr="00CD4EA8">
      <w:footerReference w:type="first" r:id="rId12"/>
      <w:pgSz w:w="11906" w:h="16838"/>
      <w:pgMar w:top="1440" w:right="1800" w:bottom="1440" w:left="1800" w:header="851" w:footer="992" w:gutter="0"/>
      <w:pgNumType w:start="1"/>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AD0424" w16cex:dateUtc="2025-05-28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9DF91A" w16cid:durableId="7C9DF91A"/>
  <w16cid:commentId w16cid:paraId="37A2073D" w16cid:durableId="37A2073D"/>
  <w16cid:commentId w16cid:paraId="6F47F406" w16cid:durableId="6F47F406"/>
  <w16cid:commentId w16cid:paraId="0AA8B6E5" w16cid:durableId="0AA8B6E5"/>
  <w16cid:commentId w16cid:paraId="58CF3C6C" w16cid:durableId="58CF3C6C"/>
  <w16cid:commentId w16cid:paraId="49A5A6F7" w16cid:durableId="49A5A6F7"/>
  <w16cid:commentId w16cid:paraId="6854EB19" w16cid:durableId="70AD0424"/>
  <w16cid:commentId w16cid:paraId="6AC5E5E8" w16cid:durableId="6AC5E5E8"/>
  <w16cid:commentId w16cid:paraId="39754031" w16cid:durableId="39754031"/>
  <w16cid:commentId w16cid:paraId="27F09F1D" w16cid:durableId="27F09F1D"/>
  <w16cid:commentId w16cid:paraId="4340E351" w16cid:durableId="4340E351"/>
  <w16cid:commentId w16cid:paraId="03C08252" w16cid:durableId="03C08252"/>
  <w16cid:commentId w16cid:paraId="17F56B3D" w16cid:durableId="17F56B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DB2D3" w14:textId="77777777" w:rsidR="00223DD4" w:rsidRDefault="00223DD4">
      <w:r>
        <w:separator/>
      </w:r>
    </w:p>
  </w:endnote>
  <w:endnote w:type="continuationSeparator" w:id="0">
    <w:p w14:paraId="46091290" w14:textId="77777777" w:rsidR="00223DD4" w:rsidRDefault="00223DD4">
      <w:r>
        <w:continuationSeparator/>
      </w:r>
    </w:p>
  </w:endnote>
  <w:endnote w:type="continuationNotice" w:id="1">
    <w:p w14:paraId="2F466DDE" w14:textId="77777777" w:rsidR="00223DD4" w:rsidRDefault="00223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长城仿宋">
    <w:altName w:val="黑体"/>
    <w:charset w:val="00"/>
    <w:family w:val="auto"/>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30A7" w14:textId="2DC1EA92" w:rsidR="009A054B" w:rsidRDefault="009A054B">
    <w:pPr>
      <w:pStyle w:val="1e"/>
      <w:jc w:val="center"/>
      <w:rPr>
        <w:rStyle w:val="19"/>
      </w:rPr>
    </w:pPr>
    <w:r>
      <w:fldChar w:fldCharType="begin"/>
    </w:r>
    <w:r>
      <w:rPr>
        <w:rStyle w:val="19"/>
      </w:rPr>
      <w:instrText xml:space="preserve"> PAGE </w:instrText>
    </w:r>
    <w:r>
      <w:fldChar w:fldCharType="separate"/>
    </w:r>
    <w:r w:rsidR="00627331">
      <w:rPr>
        <w:rStyle w:val="19"/>
        <w:noProof/>
      </w:rPr>
      <w:t>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C496" w14:textId="77777777" w:rsidR="009A054B" w:rsidRDefault="009A054B">
    <w:pPr>
      <w:pStyle w:val="1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0A18" w14:textId="77777777" w:rsidR="009A054B" w:rsidRDefault="009A054B">
    <w:pPr>
      <w:pStyle w:val="1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52A6A" w14:textId="77777777" w:rsidR="00223DD4" w:rsidRDefault="00223DD4">
      <w:r>
        <w:separator/>
      </w:r>
    </w:p>
  </w:footnote>
  <w:footnote w:type="continuationSeparator" w:id="0">
    <w:p w14:paraId="3604F29B" w14:textId="77777777" w:rsidR="00223DD4" w:rsidRDefault="00223DD4">
      <w:r>
        <w:continuationSeparator/>
      </w:r>
    </w:p>
  </w:footnote>
  <w:footnote w:type="continuationNotice" w:id="1">
    <w:p w14:paraId="6D2E11F4" w14:textId="77777777" w:rsidR="00223DD4" w:rsidRDefault="00223D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37E8" w14:textId="336C8937" w:rsidR="009A054B" w:rsidRDefault="009A054B">
    <w:pPr>
      <w:pStyle w:val="1b"/>
      <w:pBdr>
        <w:bottom w:val="single" w:sz="24" w:space="10" w:color="000000"/>
      </w:pBdr>
      <w:tabs>
        <w:tab w:val="right" w:pos="8280"/>
      </w:tabs>
      <w:jc w:val="left"/>
      <w:rPr>
        <w:color w:val="000000"/>
      </w:rPr>
    </w:pPr>
    <w:r>
      <w:rPr>
        <w:rFonts w:hint="eastAsia"/>
        <w:color w:val="000000"/>
      </w:rPr>
      <w:t>嘉实恒指港股</w:t>
    </w:r>
    <w:proofErr w:type="gramStart"/>
    <w:r>
      <w:rPr>
        <w:rFonts w:hint="eastAsia"/>
        <w:color w:val="000000"/>
      </w:rPr>
      <w:t>通交易</w:t>
    </w:r>
    <w:proofErr w:type="gramEnd"/>
    <w:r>
      <w:rPr>
        <w:rFonts w:hint="eastAsia"/>
        <w:color w:val="000000"/>
      </w:rPr>
      <w:t>型开放式指数证券投资基金</w:t>
    </w:r>
    <w:r>
      <w:rPr>
        <w:color w:val="000000"/>
      </w:rPr>
      <w:tab/>
    </w:r>
    <w:r>
      <w:rPr>
        <w:color w:val="000000"/>
      </w:rPr>
      <w:tab/>
    </w:r>
    <w: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D904" w14:textId="77777777" w:rsidR="009A054B" w:rsidRDefault="009A054B">
    <w:pPr>
      <w:pStyle w:val="1b"/>
      <w:pBdr>
        <w:bottom w:val="none" w:sz="0" w:space="0" w:color="000000"/>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90B4" w14:textId="65D8CAE9" w:rsidR="009A054B" w:rsidRDefault="009A054B">
    <w:pPr>
      <w:pStyle w:val="1b"/>
      <w:pBdr>
        <w:bottom w:val="single" w:sz="24" w:space="10" w:color="000000"/>
      </w:pBdr>
      <w:tabs>
        <w:tab w:val="right" w:pos="8280"/>
      </w:tabs>
      <w:jc w:val="left"/>
      <w:rPr>
        <w:color w:val="000000"/>
      </w:rPr>
    </w:pPr>
    <w:r w:rsidRPr="00000C48">
      <w:rPr>
        <w:rFonts w:hint="eastAsia"/>
        <w:color w:val="000000"/>
      </w:rPr>
      <w:t>嘉实</w:t>
    </w:r>
    <w:r>
      <w:rPr>
        <w:rFonts w:hint="eastAsia"/>
        <w:color w:val="000000"/>
      </w:rPr>
      <w:t>恒指港股</w:t>
    </w:r>
    <w:proofErr w:type="gramStart"/>
    <w:r>
      <w:rPr>
        <w:rFonts w:hint="eastAsia"/>
        <w:color w:val="000000"/>
      </w:rPr>
      <w:t>通</w:t>
    </w:r>
    <w:r w:rsidRPr="00000C48">
      <w:rPr>
        <w:rFonts w:hint="eastAsia"/>
        <w:color w:val="000000"/>
      </w:rPr>
      <w:t>交易</w:t>
    </w:r>
    <w:proofErr w:type="gramEnd"/>
    <w:r w:rsidRPr="00000C48">
      <w:rPr>
        <w:rFonts w:hint="eastAsia"/>
        <w:color w:val="000000"/>
      </w:rPr>
      <w:t>型开放式指数证券投资基金</w:t>
    </w:r>
    <w:r>
      <w:rPr>
        <w:rFonts w:hint="eastAsia"/>
        <w:color w:val="000000"/>
      </w:rPr>
      <w:t xml:space="preserve"> </w:t>
    </w:r>
    <w:r>
      <w:rPr>
        <w:color w:val="000000"/>
      </w:rPr>
      <w:t xml:space="preserve">                                 </w:t>
    </w:r>
    <w:r w:rsidR="008D7D9E">
      <w:rPr>
        <w:color w:val="000000"/>
      </w:rPr>
      <w:t xml:space="preserve">        </w:t>
    </w:r>
    <w:r>
      <w:t>托管协议</w:t>
    </w:r>
  </w:p>
  <w:p w14:paraId="473404BC" w14:textId="77777777" w:rsidR="009A054B" w:rsidRDefault="009A054B">
    <w:pPr>
      <w:pStyle w:val="1b"/>
      <w:pBdr>
        <w:bottom w:val="none" w:sz="0" w:space="0" w:color="00000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B4"/>
    <w:rsid w:val="00000C48"/>
    <w:rsid w:val="0000296A"/>
    <w:rsid w:val="000156C2"/>
    <w:rsid w:val="00020F9C"/>
    <w:rsid w:val="00034B22"/>
    <w:rsid w:val="00040753"/>
    <w:rsid w:val="000437B0"/>
    <w:rsid w:val="000775AC"/>
    <w:rsid w:val="000C4339"/>
    <w:rsid w:val="001111D0"/>
    <w:rsid w:val="00111350"/>
    <w:rsid w:val="00115B7B"/>
    <w:rsid w:val="001223EA"/>
    <w:rsid w:val="00175CB9"/>
    <w:rsid w:val="00190C15"/>
    <w:rsid w:val="001A4489"/>
    <w:rsid w:val="001A5974"/>
    <w:rsid w:val="001B2D3A"/>
    <w:rsid w:val="001B6C13"/>
    <w:rsid w:val="001B7F94"/>
    <w:rsid w:val="001C1717"/>
    <w:rsid w:val="001E32F2"/>
    <w:rsid w:val="00223DD4"/>
    <w:rsid w:val="00232B97"/>
    <w:rsid w:val="00234B8F"/>
    <w:rsid w:val="00242D64"/>
    <w:rsid w:val="0024427B"/>
    <w:rsid w:val="002571C3"/>
    <w:rsid w:val="00292021"/>
    <w:rsid w:val="00293647"/>
    <w:rsid w:val="00295318"/>
    <w:rsid w:val="002C447A"/>
    <w:rsid w:val="002C590C"/>
    <w:rsid w:val="003032BD"/>
    <w:rsid w:val="00313BAE"/>
    <w:rsid w:val="00317548"/>
    <w:rsid w:val="003226CD"/>
    <w:rsid w:val="00330937"/>
    <w:rsid w:val="0033703A"/>
    <w:rsid w:val="003404C6"/>
    <w:rsid w:val="00344418"/>
    <w:rsid w:val="00344B87"/>
    <w:rsid w:val="00346085"/>
    <w:rsid w:val="003738C3"/>
    <w:rsid w:val="003A2675"/>
    <w:rsid w:val="003B2B80"/>
    <w:rsid w:val="00416F77"/>
    <w:rsid w:val="00443958"/>
    <w:rsid w:val="0045180F"/>
    <w:rsid w:val="00452EF9"/>
    <w:rsid w:val="0049207F"/>
    <w:rsid w:val="004A423B"/>
    <w:rsid w:val="004B2563"/>
    <w:rsid w:val="004B72F6"/>
    <w:rsid w:val="00502E97"/>
    <w:rsid w:val="00516608"/>
    <w:rsid w:val="00530AC8"/>
    <w:rsid w:val="00543FF6"/>
    <w:rsid w:val="00577F76"/>
    <w:rsid w:val="005850BD"/>
    <w:rsid w:val="005853CC"/>
    <w:rsid w:val="005B15CA"/>
    <w:rsid w:val="005D254B"/>
    <w:rsid w:val="00612681"/>
    <w:rsid w:val="00627331"/>
    <w:rsid w:val="006374A6"/>
    <w:rsid w:val="006623AF"/>
    <w:rsid w:val="006704BD"/>
    <w:rsid w:val="00692F2F"/>
    <w:rsid w:val="00694A26"/>
    <w:rsid w:val="00695A81"/>
    <w:rsid w:val="006C10C9"/>
    <w:rsid w:val="006D30D2"/>
    <w:rsid w:val="006E0F02"/>
    <w:rsid w:val="006E5341"/>
    <w:rsid w:val="006F1E3B"/>
    <w:rsid w:val="00705E1F"/>
    <w:rsid w:val="00714CC1"/>
    <w:rsid w:val="007150CE"/>
    <w:rsid w:val="007217DA"/>
    <w:rsid w:val="00724AAC"/>
    <w:rsid w:val="0074568B"/>
    <w:rsid w:val="00747E35"/>
    <w:rsid w:val="00757AE8"/>
    <w:rsid w:val="00782FEE"/>
    <w:rsid w:val="007854FB"/>
    <w:rsid w:val="00787424"/>
    <w:rsid w:val="007A1268"/>
    <w:rsid w:val="007C545B"/>
    <w:rsid w:val="007C5DFE"/>
    <w:rsid w:val="007F4110"/>
    <w:rsid w:val="00807CC7"/>
    <w:rsid w:val="00811EEE"/>
    <w:rsid w:val="008224C4"/>
    <w:rsid w:val="008247B4"/>
    <w:rsid w:val="00832EF4"/>
    <w:rsid w:val="00833671"/>
    <w:rsid w:val="00840A5D"/>
    <w:rsid w:val="00842814"/>
    <w:rsid w:val="00871D16"/>
    <w:rsid w:val="00884CBE"/>
    <w:rsid w:val="008940E4"/>
    <w:rsid w:val="008A0B4E"/>
    <w:rsid w:val="008B0367"/>
    <w:rsid w:val="008D20B5"/>
    <w:rsid w:val="008D39EF"/>
    <w:rsid w:val="008D7D9E"/>
    <w:rsid w:val="008E6136"/>
    <w:rsid w:val="008F4256"/>
    <w:rsid w:val="009432BF"/>
    <w:rsid w:val="009A054B"/>
    <w:rsid w:val="009A56BD"/>
    <w:rsid w:val="009D0A4B"/>
    <w:rsid w:val="009E53B8"/>
    <w:rsid w:val="00A1452A"/>
    <w:rsid w:val="00A463BF"/>
    <w:rsid w:val="00A51308"/>
    <w:rsid w:val="00A6312B"/>
    <w:rsid w:val="00AB5B47"/>
    <w:rsid w:val="00AC0A56"/>
    <w:rsid w:val="00AC3C27"/>
    <w:rsid w:val="00B1735F"/>
    <w:rsid w:val="00B26559"/>
    <w:rsid w:val="00B316CD"/>
    <w:rsid w:val="00B563E2"/>
    <w:rsid w:val="00B60EEE"/>
    <w:rsid w:val="00B62ED8"/>
    <w:rsid w:val="00BC1F6E"/>
    <w:rsid w:val="00BE06A4"/>
    <w:rsid w:val="00BF42A7"/>
    <w:rsid w:val="00BF4476"/>
    <w:rsid w:val="00C02B71"/>
    <w:rsid w:val="00C1124A"/>
    <w:rsid w:val="00C114B7"/>
    <w:rsid w:val="00C35223"/>
    <w:rsid w:val="00C50B59"/>
    <w:rsid w:val="00C565D9"/>
    <w:rsid w:val="00C72DB2"/>
    <w:rsid w:val="00C83722"/>
    <w:rsid w:val="00C9125E"/>
    <w:rsid w:val="00CA50F3"/>
    <w:rsid w:val="00CB7EC4"/>
    <w:rsid w:val="00CC131E"/>
    <w:rsid w:val="00CC7B04"/>
    <w:rsid w:val="00CD4EA8"/>
    <w:rsid w:val="00CE3B50"/>
    <w:rsid w:val="00CE3C2E"/>
    <w:rsid w:val="00D01CFD"/>
    <w:rsid w:val="00D13793"/>
    <w:rsid w:val="00D25D5A"/>
    <w:rsid w:val="00D54890"/>
    <w:rsid w:val="00D851F3"/>
    <w:rsid w:val="00D870D6"/>
    <w:rsid w:val="00DF6F17"/>
    <w:rsid w:val="00E20890"/>
    <w:rsid w:val="00E34D18"/>
    <w:rsid w:val="00E41BDA"/>
    <w:rsid w:val="00E6342E"/>
    <w:rsid w:val="00E635FC"/>
    <w:rsid w:val="00E72F76"/>
    <w:rsid w:val="00E74178"/>
    <w:rsid w:val="00E82EAD"/>
    <w:rsid w:val="00EC4568"/>
    <w:rsid w:val="00F05981"/>
    <w:rsid w:val="00F149BA"/>
    <w:rsid w:val="00F36DDB"/>
    <w:rsid w:val="00F47A38"/>
    <w:rsid w:val="00F828D6"/>
    <w:rsid w:val="00FA39EF"/>
    <w:rsid w:val="00FB57C7"/>
    <w:rsid w:val="00FC37EE"/>
    <w:rsid w:val="00FD6AFE"/>
    <w:rsid w:val="00FF48C4"/>
    <w:rsid w:val="0FBC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7E9B1"/>
  <w15:docId w15:val="{F7136177-6568-41A0-8751-0A334EE3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pPr>
    <w:rPr>
      <w:lang w:eastAsia="en-US" w:bidi="en-US"/>
    </w:rPr>
  </w:style>
  <w:style w:type="paragraph" w:styleId="1">
    <w:name w:val="heading 1"/>
    <w:next w:val="a"/>
    <w:link w:val="10"/>
    <w:uiPriority w:val="9"/>
    <w:qFormat/>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480" w:after="200"/>
      <w:outlineLvl w:val="0"/>
    </w:pPr>
    <w:rPr>
      <w:rFonts w:ascii="Arial" w:eastAsia="Arial" w:hAnsi="Arial" w:cs="Arial"/>
      <w:sz w:val="40"/>
      <w:szCs w:val="40"/>
      <w:lang w:eastAsia="en-US" w:bidi="en-US"/>
    </w:rPr>
  </w:style>
  <w:style w:type="paragraph" w:styleId="2">
    <w:name w:val="heading 2"/>
    <w:next w:val="a"/>
    <w:link w:val="20"/>
    <w:uiPriority w:val="9"/>
    <w:unhideWhenUsed/>
    <w:qFormat/>
    <w:rsid w:val="006704BD"/>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200"/>
      <w:outlineLvl w:val="1"/>
    </w:pPr>
    <w:rPr>
      <w:rFonts w:ascii="Arial" w:eastAsia="Arial" w:hAnsi="Arial" w:cs="Arial"/>
      <w:sz w:val="34"/>
      <w:lang w:eastAsia="en-US" w:bidi="en-US"/>
    </w:rPr>
  </w:style>
  <w:style w:type="paragraph" w:styleId="3">
    <w:name w:val="heading 3"/>
    <w:next w:val="a"/>
    <w:link w:val="3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after="200"/>
      <w:outlineLvl w:val="2"/>
    </w:pPr>
    <w:rPr>
      <w:rFonts w:ascii="Arial" w:eastAsia="Arial" w:hAnsi="Arial" w:cs="Arial"/>
      <w:sz w:val="30"/>
      <w:szCs w:val="30"/>
      <w:lang w:eastAsia="en-US" w:bidi="en-US"/>
    </w:rPr>
  </w:style>
  <w:style w:type="paragraph" w:styleId="4">
    <w:name w:val="heading 4"/>
    <w:next w:val="a"/>
    <w:link w:val="4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after="200"/>
      <w:outlineLvl w:val="3"/>
    </w:pPr>
    <w:rPr>
      <w:rFonts w:ascii="Arial" w:eastAsia="Arial" w:hAnsi="Arial" w:cs="Arial"/>
      <w:b/>
      <w:bCs/>
      <w:sz w:val="26"/>
      <w:szCs w:val="26"/>
      <w:lang w:eastAsia="en-US" w:bidi="en-US"/>
    </w:rPr>
  </w:style>
  <w:style w:type="paragraph" w:styleId="5">
    <w:name w:val="heading 5"/>
    <w:next w:val="a"/>
    <w:link w:val="5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after="200"/>
      <w:outlineLvl w:val="4"/>
    </w:pPr>
    <w:rPr>
      <w:rFonts w:ascii="Arial" w:eastAsia="Arial" w:hAnsi="Arial" w:cs="Arial"/>
      <w:b/>
      <w:bCs/>
      <w:sz w:val="24"/>
      <w:szCs w:val="24"/>
      <w:lang w:eastAsia="en-US" w:bidi="en-US"/>
    </w:rPr>
  </w:style>
  <w:style w:type="paragraph" w:styleId="6">
    <w:name w:val="heading 6"/>
    <w:next w:val="a"/>
    <w:link w:val="6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after="200"/>
      <w:outlineLvl w:val="5"/>
    </w:pPr>
    <w:rPr>
      <w:rFonts w:ascii="Arial" w:eastAsia="Arial" w:hAnsi="Arial" w:cs="Arial"/>
      <w:b/>
      <w:bCs/>
      <w:sz w:val="22"/>
      <w:lang w:eastAsia="en-US" w:bidi="en-US"/>
    </w:rPr>
  </w:style>
  <w:style w:type="paragraph" w:styleId="7">
    <w:name w:val="heading 7"/>
    <w:next w:val="a"/>
    <w:link w:val="7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after="200"/>
      <w:outlineLvl w:val="6"/>
    </w:pPr>
    <w:rPr>
      <w:rFonts w:ascii="Arial" w:eastAsia="Arial" w:hAnsi="Arial" w:cs="Arial"/>
      <w:b/>
      <w:bCs/>
      <w:i/>
      <w:iCs/>
      <w:sz w:val="22"/>
      <w:lang w:eastAsia="en-US" w:bidi="en-US"/>
    </w:rPr>
  </w:style>
  <w:style w:type="paragraph" w:styleId="8">
    <w:name w:val="heading 8"/>
    <w:next w:val="a"/>
    <w:link w:val="8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after="200"/>
      <w:outlineLvl w:val="7"/>
    </w:pPr>
    <w:rPr>
      <w:rFonts w:ascii="Arial" w:eastAsia="Arial" w:hAnsi="Arial" w:cs="Arial"/>
      <w:i/>
      <w:iCs/>
      <w:sz w:val="22"/>
      <w:lang w:eastAsia="en-US" w:bidi="en-US"/>
    </w:rPr>
  </w:style>
  <w:style w:type="paragraph" w:styleId="9">
    <w:name w:val="heading 9"/>
    <w:next w:val="a"/>
    <w:link w:val="90"/>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Plain Table 3"/>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Plain Table 4"/>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Plain Table 5"/>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3">
    <w:name w:val="List Table 1 Light"/>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
    <w:name w:val="TOC Heading"/>
    <w:uiPriority w:val="39"/>
    <w:unhideWhenUsed/>
  </w:style>
  <w:style w:type="paragraph" w:styleId="73">
    <w:name w:val="toc 7"/>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ind w:left="1701"/>
    </w:pPr>
    <w:rPr>
      <w:lang w:eastAsia="en-US" w:bidi="en-US"/>
    </w:rPr>
  </w:style>
  <w:style w:type="paragraph" w:styleId="a3">
    <w:name w:val="annotation text"/>
    <w:basedOn w:val="a"/>
    <w:link w:val="a4"/>
    <w:uiPriority w:val="99"/>
    <w:semiHidden/>
    <w:unhideWhenUsed/>
    <w:qFormat/>
  </w:style>
  <w:style w:type="paragraph" w:styleId="54">
    <w:name w:val="toc 5"/>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ind w:left="1134"/>
    </w:pPr>
    <w:rPr>
      <w:lang w:eastAsia="en-US" w:bidi="en-US"/>
    </w:rPr>
  </w:style>
  <w:style w:type="paragraph" w:styleId="34">
    <w:name w:val="toc 3"/>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ind w:left="567"/>
    </w:pPr>
    <w:rPr>
      <w:lang w:eastAsia="en-US" w:bidi="en-US"/>
    </w:rPr>
  </w:style>
  <w:style w:type="paragraph" w:styleId="81">
    <w:name w:val="toc 8"/>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ind w:left="1984"/>
    </w:pPr>
    <w:rPr>
      <w:lang w:eastAsia="en-US" w:bidi="en-US"/>
    </w:rPr>
  </w:style>
  <w:style w:type="paragraph" w:styleId="a5">
    <w:name w:val="Balloon Text"/>
    <w:basedOn w:val="a"/>
    <w:link w:val="a6"/>
    <w:uiPriority w:val="99"/>
    <w:semiHidden/>
    <w:unhideWhenUsed/>
    <w:qFormat/>
    <w:rPr>
      <w:sz w:val="18"/>
      <w:szCs w:val="18"/>
    </w:rPr>
  </w:style>
  <w:style w:type="paragraph" w:styleId="a7">
    <w:name w:val="footer"/>
    <w:link w:val="a8"/>
    <w:uiPriority w:val="9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center" w:pos="7143"/>
        <w:tab w:val="right" w:pos="14287"/>
      </w:tabs>
    </w:pPr>
    <w:rPr>
      <w:lang w:eastAsia="en-US" w:bidi="en-US"/>
    </w:rPr>
  </w:style>
  <w:style w:type="paragraph" w:styleId="a9">
    <w:name w:val="header"/>
    <w:link w:val="aa"/>
    <w:uiPriority w:val="9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center" w:pos="7143"/>
        <w:tab w:val="right" w:pos="14287"/>
      </w:tabs>
    </w:pPr>
    <w:rPr>
      <w:lang w:eastAsia="en-US" w:bidi="en-US"/>
    </w:rPr>
  </w:style>
  <w:style w:type="paragraph" w:styleId="14">
    <w:name w:val="toc 1"/>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pPr>
    <w:rPr>
      <w:lang w:eastAsia="en-US" w:bidi="en-US"/>
    </w:rPr>
  </w:style>
  <w:style w:type="paragraph" w:styleId="44">
    <w:name w:val="toc 4"/>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ind w:left="850"/>
    </w:pPr>
    <w:rPr>
      <w:lang w:eastAsia="en-US" w:bidi="en-US"/>
    </w:rPr>
  </w:style>
  <w:style w:type="paragraph" w:styleId="ab">
    <w:name w:val="Subtitle"/>
    <w:link w:val="ac"/>
    <w:uiPriority w:val="11"/>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after="200"/>
    </w:pPr>
    <w:rPr>
      <w:sz w:val="24"/>
      <w:szCs w:val="24"/>
      <w:lang w:eastAsia="en-US" w:bidi="en-US"/>
    </w:rPr>
  </w:style>
  <w:style w:type="paragraph" w:styleId="ad">
    <w:name w:val="footnote text"/>
    <w:link w:val="ae"/>
    <w:uiPriority w:val="99"/>
    <w:semiHidden/>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
    </w:pPr>
    <w:rPr>
      <w:sz w:val="18"/>
      <w:lang w:eastAsia="en-US" w:bidi="en-US"/>
    </w:rPr>
  </w:style>
  <w:style w:type="paragraph" w:styleId="63">
    <w:name w:val="toc 6"/>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ind w:left="1417"/>
    </w:pPr>
    <w:rPr>
      <w:lang w:eastAsia="en-US" w:bidi="en-US"/>
    </w:rPr>
  </w:style>
  <w:style w:type="paragraph" w:styleId="24">
    <w:name w:val="toc 2"/>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ind w:left="283"/>
    </w:pPr>
    <w:rPr>
      <w:lang w:eastAsia="en-US" w:bidi="en-US"/>
    </w:rPr>
  </w:style>
  <w:style w:type="paragraph" w:styleId="91">
    <w:name w:val="toc 9"/>
    <w:next w:val="a"/>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57"/>
      <w:ind w:left="2268"/>
    </w:pPr>
    <w:rPr>
      <w:lang w:eastAsia="en-US" w:bidi="en-US"/>
    </w:rPr>
  </w:style>
  <w:style w:type="paragraph" w:styleId="af">
    <w:name w:val="Title"/>
    <w:link w:val="af0"/>
    <w:uiPriority w:val="10"/>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300" w:after="200"/>
      <w:contextualSpacing/>
    </w:pPr>
    <w:rPr>
      <w:sz w:val="48"/>
      <w:szCs w:val="48"/>
      <w:lang w:eastAsia="en-US" w:bidi="en-US"/>
    </w:rPr>
  </w:style>
  <w:style w:type="paragraph" w:styleId="af1">
    <w:name w:val="annotation subject"/>
    <w:basedOn w:val="a3"/>
    <w:next w:val="a3"/>
    <w:link w:val="af2"/>
    <w:uiPriority w:val="99"/>
    <w:semiHidden/>
    <w:unhideWhenUsed/>
    <w:qFormat/>
    <w:rsid w:val="00175CB9"/>
    <w:rPr>
      <w:b/>
      <w:bCs/>
    </w:rPr>
  </w:style>
  <w:style w:type="table" w:styleId="af3">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Hyperlink"/>
    <w:uiPriority w:val="99"/>
    <w:unhideWhenUsed/>
    <w:qFormat/>
    <w:rPr>
      <w:color w:val="0000FF"/>
      <w:u w:val="single"/>
    </w:rPr>
  </w:style>
  <w:style w:type="character" w:styleId="af5">
    <w:name w:val="annotation reference"/>
    <w:uiPriority w:val="99"/>
    <w:semiHidden/>
    <w:unhideWhenUsed/>
    <w:qFormat/>
    <w:rPr>
      <w:sz w:val="21"/>
      <w:szCs w:val="21"/>
    </w:rPr>
  </w:style>
  <w:style w:type="character" w:styleId="af6">
    <w:name w:val="footnote reference"/>
    <w:uiPriority w:val="99"/>
    <w:unhideWhenUsed/>
    <w:qFormat/>
    <w:rPr>
      <w:vertAlign w:val="superscript"/>
    </w:rPr>
  </w:style>
  <w:style w:type="table" w:customStyle="1" w:styleId="110">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TOC1">
    <w:name w:val="TOC 标题1"/>
    <w:uiPriority w:val="39"/>
    <w:unhideWhenUsed/>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eading1Char">
    <w:name w:val="Heading 1 Char"/>
    <w:basedOn w:val="a0"/>
    <w:uiPriority w:val="9"/>
    <w:qFormat/>
    <w:rsid w:val="00175CB9"/>
    <w:rPr>
      <w:rFonts w:ascii="Arial" w:eastAsia="Arial" w:hAnsi="Arial" w:cs="Arial"/>
      <w:sz w:val="40"/>
      <w:szCs w:val="40"/>
    </w:rPr>
  </w:style>
  <w:style w:type="character" w:customStyle="1" w:styleId="Heading2Char">
    <w:name w:val="Heading 2 Char"/>
    <w:basedOn w:val="a0"/>
    <w:uiPriority w:val="9"/>
    <w:qFormat/>
    <w:rsid w:val="00175CB9"/>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sid w:val="00175CB9"/>
    <w:rPr>
      <w:rFonts w:ascii="Arial" w:eastAsia="Arial" w:hAnsi="Arial" w:cs="Arial"/>
      <w:i/>
      <w:iCs/>
      <w:sz w:val="22"/>
      <w:szCs w:val="22"/>
    </w:rPr>
  </w:style>
  <w:style w:type="character" w:customStyle="1" w:styleId="Heading9Char">
    <w:name w:val="Heading 9 Char"/>
    <w:basedOn w:val="a0"/>
    <w:uiPriority w:val="9"/>
    <w:qFormat/>
    <w:rsid w:val="00175CB9"/>
    <w:rPr>
      <w:rFonts w:ascii="Arial" w:eastAsia="Arial" w:hAnsi="Arial" w:cs="Arial"/>
      <w:i/>
      <w:iCs/>
      <w:sz w:val="21"/>
      <w:szCs w:val="21"/>
    </w:rPr>
  </w:style>
  <w:style w:type="character" w:customStyle="1" w:styleId="TitleChar">
    <w:name w:val="Title Char"/>
    <w:basedOn w:val="a0"/>
    <w:uiPriority w:val="10"/>
    <w:qFormat/>
    <w:rsid w:val="00175CB9"/>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qFormat/>
    <w:rsid w:val="00175CB9"/>
    <w:rPr>
      <w:i/>
    </w:rPr>
  </w:style>
  <w:style w:type="character" w:customStyle="1" w:styleId="IntenseQuoteChar">
    <w:name w:val="Intense Quote Char"/>
    <w:uiPriority w:val="30"/>
    <w:qFormat/>
    <w:rsid w:val="00175CB9"/>
    <w:rPr>
      <w:i/>
    </w:rPr>
  </w:style>
  <w:style w:type="character" w:customStyle="1" w:styleId="HeaderChar">
    <w:name w:val="Header Char"/>
    <w:basedOn w:val="a0"/>
    <w:uiPriority w:val="99"/>
  </w:style>
  <w:style w:type="character" w:customStyle="1" w:styleId="FooterChar">
    <w:name w:val="Footer Char"/>
    <w:basedOn w:val="a0"/>
    <w:uiPriority w:val="99"/>
    <w:qFormat/>
    <w:rsid w:val="00175CB9"/>
  </w:style>
  <w:style w:type="table" w:customStyle="1" w:styleId="113">
    <w:name w:val="无格式表格 11"/>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3">
    <w:name w:val="无格式表格 21"/>
    <w:basedOn w:val="a1"/>
    <w:uiPriority w:val="59"/>
    <w:qFormat/>
    <w:tblPr>
      <w:tblBorders>
        <w:top w:val="single" w:sz="4" w:space="0" w:color="000000"/>
        <w:left w:val="none" w:sz="4" w:space="0" w:color="000000"/>
        <w:bottom w:val="single" w:sz="4" w:space="0" w:color="000000"/>
        <w:right w:val="none" w:sz="4" w:space="0" w:color="00000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3">
    <w:name w:val="无格式表格 31"/>
    <w:basedOn w:val="a1"/>
    <w:uiPriority w:val="99"/>
    <w:qFormat/>
    <w:tblPr>
      <w:tblCellMar>
        <w:left w:w="0" w:type="dxa"/>
        <w:right w:w="0" w:type="dxa"/>
      </w:tblCellMar>
    </w:tblPr>
    <w:tblStylePr w:type="firstRow">
      <w:pPr>
        <w:snapToGrid/>
      </w:pPr>
      <w:rPr>
        <w:b/>
        <w:caps/>
        <w:color w:val="404040"/>
      </w:rPr>
    </w:tblStylePr>
    <w:tblStylePr w:type="lastRow">
      <w:pPr>
        <w:snapToGrid/>
      </w:pPr>
      <w:rPr>
        <w:b/>
        <w:caps/>
        <w:color w:val="404040"/>
      </w:rPr>
    </w:tblStylePr>
    <w:tblStylePr w:type="firstCol">
      <w:pPr>
        <w:snapToGrid/>
      </w:pPr>
      <w:rPr>
        <w:b/>
        <w:caps/>
        <w:color w:val="404040"/>
      </w:rPr>
    </w:tblStylePr>
    <w:tblStylePr w:type="lastCol">
      <w:pPr>
        <w:snapToGrid/>
      </w:pPr>
      <w:rPr>
        <w:b/>
        <w:caps/>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3">
    <w:name w:val="无格式表格 41"/>
    <w:basedOn w:val="a1"/>
    <w:uiPriority w:val="99"/>
    <w:qFormat/>
    <w:tblPr>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3">
    <w:name w:val="无格式表格 51"/>
    <w:basedOn w:val="a1"/>
    <w:uiPriority w:val="99"/>
    <w:qFormat/>
    <w:tblPr>
      <w:tblCellMar>
        <w:left w:w="0" w:type="dxa"/>
        <w:right w:w="0" w:type="dxa"/>
      </w:tblCellMar>
    </w:tblPr>
    <w:tblStylePr w:type="firstRow">
      <w:pPr>
        <w:snapToGrid/>
      </w:pPr>
      <w:rPr>
        <w:i/>
        <w:color w:val="404040"/>
      </w:rPr>
    </w:tblStylePr>
    <w:tblStylePr w:type="lastRow">
      <w:pPr>
        <w:snapToGrid/>
      </w:pPr>
      <w:rPr>
        <w:i/>
        <w:color w:val="404040"/>
      </w:rPr>
    </w:tblStylePr>
    <w:tblStylePr w:type="firstCol">
      <w:pPr>
        <w:snapToGrid/>
      </w:pPr>
      <w:rPr>
        <w:i/>
        <w:color w:val="404040"/>
      </w:rPr>
    </w:tblStylePr>
    <w:tblStylePr w:type="lastCol">
      <w:pPr>
        <w:snapToGrid/>
      </w:pPr>
      <w:rPr>
        <w:i/>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网格表 1 浅色1"/>
    <w:basedOn w:val="a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网格表 21"/>
    <w:basedOn w:val="a1"/>
    <w:uiPriority w:val="99"/>
    <w:qFormat/>
    <w:tblPr>
      <w:tblBorders>
        <w:bottom w:val="single" w:sz="4" w:space="0" w:color="6A6A6A"/>
        <w:insideH w:val="single" w:sz="4" w:space="0" w:color="6A6A6A"/>
        <w:insideV w:val="single" w:sz="4" w:space="0" w:color="6A6A6A"/>
      </w:tblBorders>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4">
    <w:name w:val="网格表 31"/>
    <w:basedOn w:val="a1"/>
    <w:uiPriority w:val="99"/>
    <w:qFormat/>
    <w:tblPr>
      <w:tblBorders>
        <w:bottom w:val="single" w:sz="4" w:space="0" w:color="6A6A6A"/>
        <w:insideH w:val="single" w:sz="4" w:space="0" w:color="6A6A6A"/>
        <w:insideV w:val="single" w:sz="4" w:space="0" w:color="6A6A6A"/>
      </w:tblBorders>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i/>
        <w:color w:val="404040"/>
      </w:rPr>
    </w:tblStylePr>
    <w:tblStylePr w:type="lastCol">
      <w:pPr>
        <w:snapToGrid/>
      </w:pPr>
      <w:rPr>
        <w:i/>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4">
    <w:name w:val="网格表 41"/>
    <w:basedOn w:val="a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tblStylePr w:type="firstRow">
      <w:pPr>
        <w:snapToGrid/>
      </w:pPr>
      <w:rPr>
        <w:rFonts w:ascii="Arial" w:hAnsi="Arial"/>
        <w:b/>
        <w:color w:val="FFFFFF"/>
        <w:sz w:val="22"/>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4">
    <w:name w:val="网格表 5 深色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pPr>
        <w:snapToGrid/>
      </w:pPr>
      <w:rPr>
        <w:rFonts w:ascii="Arial" w:hAnsi="Arial"/>
        <w:b/>
        <w:color w:val="FFFFFF"/>
        <w:sz w:val="22"/>
      </w:rPr>
    </w:tblStylePr>
    <w:tblStylePr w:type="lastRow">
      <w:pPr>
        <w:snapToGrid/>
      </w:pPr>
      <w:rPr>
        <w:rFonts w:ascii="Arial" w:hAnsi="Arial"/>
        <w:b/>
        <w:color w:val="FFFFFF"/>
        <w:sz w:val="22"/>
      </w:rPr>
    </w:tblStylePr>
    <w:tblStylePr w:type="firstCol">
      <w:pPr>
        <w:snapToGrid/>
      </w:pPr>
      <w:rPr>
        <w:rFonts w:ascii="Arial" w:hAnsi="Arial"/>
        <w:b/>
        <w:color w:val="FFFFFF"/>
        <w:sz w:val="22"/>
      </w:rPr>
    </w:tblStylePr>
    <w:tblStylePr w:type="lastCol">
      <w:pPr>
        <w:snapToGrid/>
      </w:pPr>
      <w:rPr>
        <w:rFonts w:ascii="Arial" w:hAnsi="Arial"/>
        <w:b/>
        <w:color w:val="FFFFFF"/>
        <w:sz w:val="22"/>
      </w:r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2">
    <w:name w:val="网格表 6 彩色1"/>
    <w:basedOn w:val="a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tblStylePr w:type="firstRow">
      <w:pPr>
        <w:snapToGrid/>
      </w:pPr>
      <w:rPr>
        <w:b/>
        <w:color w:val="7F7F7F" w:themeColor="text1" w:themeTint="80"/>
      </w:r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StylePr>
    <w:tblStylePr w:type="band2Vert">
      <w:pPr>
        <w:snapToGrid/>
      </w:pPr>
    </w:tblStylePr>
    <w:tblStylePr w:type="band1Horz">
      <w:pPr>
        <w:snapToGrid/>
      </w:pPr>
      <w:rPr>
        <w:rFonts w:ascii="Arial" w:hAnsi="Arial"/>
        <w:color w:val="7F7F7F" w:themeColor="text1" w:themeTint="80"/>
        <w:sz w:val="22"/>
      </w:r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2">
    <w:name w:val="网格表 7 彩色1"/>
    <w:basedOn w:val="a1"/>
    <w:uiPriority w:val="99"/>
    <w:qFormat/>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tblStylePr w:type="firstRow">
      <w:pPr>
        <w:snapToGrid/>
      </w:pPr>
      <w:rPr>
        <w:rFonts w:ascii="Arial" w:hAnsi="Arial"/>
        <w:b/>
        <w:color w:val="7F7F7F" w:themeColor="text1" w:themeTint="80"/>
        <w:sz w:val="22"/>
      </w:rPr>
    </w:tblStylePr>
    <w:tblStylePr w:type="lastRow">
      <w:pPr>
        <w:snapToGrid/>
      </w:pPr>
      <w:rPr>
        <w:rFonts w:ascii="Arial" w:hAnsi="Arial"/>
        <w:b/>
        <w:color w:val="7F7F7F" w:themeColor="text1" w:themeTint="80"/>
        <w:sz w:val="22"/>
      </w:rPr>
    </w:tblStylePr>
    <w:tblStylePr w:type="firstCol">
      <w:pPr>
        <w:snapToGrid/>
      </w:pPr>
      <w:rPr>
        <w:rFonts w:ascii="Arial" w:hAnsi="Arial"/>
        <w:i/>
        <w:color w:val="7F7F7F" w:themeColor="text1" w:themeTint="80"/>
        <w:sz w:val="22"/>
      </w:rPr>
    </w:tblStylePr>
    <w:tblStylePr w:type="lastCol">
      <w:pPr>
        <w:snapToGrid/>
      </w:pPr>
      <w:rPr>
        <w:rFonts w:ascii="Arial" w:hAnsi="Arial"/>
        <w:i/>
        <w:color w:val="7F7F7F" w:themeColor="text1" w:themeTint="80"/>
        <w:sz w:val="22"/>
      </w:rPr>
    </w:tblStylePr>
    <w:tblStylePr w:type="band1Vert">
      <w:pPr>
        <w:snapToGrid/>
      </w:pPr>
    </w:tblStylePr>
    <w:tblStylePr w:type="band2Vert">
      <w:pPr>
        <w:snapToGrid/>
      </w:pPr>
    </w:tblStylePr>
    <w:tblStylePr w:type="band1Horz">
      <w:pPr>
        <w:snapToGrid/>
      </w:pPr>
      <w:rPr>
        <w:rFonts w:ascii="Arial" w:hAnsi="Arial"/>
        <w:color w:val="7F7F7F" w:themeColor="text1" w:themeTint="80"/>
        <w:sz w:val="22"/>
      </w:r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清单表 1 浅色1"/>
    <w:basedOn w:val="a1"/>
    <w:uiPriority w:val="99"/>
    <w:qFormat/>
    <w:tblPr>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清单表 21"/>
    <w:basedOn w:val="a1"/>
    <w:uiPriority w:val="99"/>
    <w:qFormat/>
    <w:tblPr>
      <w:tblBorders>
        <w:top w:val="single" w:sz="4" w:space="0" w:color="6F6F6F"/>
        <w:bottom w:val="single" w:sz="4" w:space="0" w:color="6F6F6F"/>
        <w:insideH w:val="single" w:sz="4" w:space="0" w:color="6F6F6F"/>
      </w:tblBorders>
      <w:tblCellMar>
        <w:left w:w="0" w:type="dxa"/>
        <w:right w:w="0"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5">
    <w:name w:val="清单表 31"/>
    <w:basedOn w:val="a1"/>
    <w:uiPriority w:val="99"/>
    <w:qFormat/>
    <w:tblPr>
      <w:tblBorders>
        <w:top w:val="single" w:sz="4" w:space="0" w:color="000000"/>
        <w:left w:val="single" w:sz="4" w:space="0" w:color="000000"/>
        <w:bottom w:val="single" w:sz="4" w:space="0" w:color="000000"/>
        <w:right w:val="single" w:sz="4" w:space="0" w:color="000000"/>
      </w:tblBorders>
      <w:tblCellMar>
        <w:left w:w="0" w:type="dxa"/>
        <w:right w:w="0" w:type="dxa"/>
      </w:tblCellMar>
    </w:tblPr>
    <w:tblStylePr w:type="firstRow">
      <w:pPr>
        <w:snapToGrid/>
      </w:pPr>
      <w:rPr>
        <w:rFonts w:ascii="Arial" w:hAnsi="Arial"/>
        <w:b/>
        <w:color w:val="FFFFFF"/>
        <w:sz w:val="22"/>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5">
    <w:name w:val="清单表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tblStylePr w:type="firstRow">
      <w:pPr>
        <w:snapToGrid/>
      </w:pPr>
      <w:rPr>
        <w:rFonts w:ascii="Arial" w:hAnsi="Arial"/>
        <w:b/>
        <w:color w:val="FFFFFF"/>
        <w:sz w:val="22"/>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5">
    <w:name w:val="清单表 5 深色1"/>
    <w:basedOn w:val="a1"/>
    <w:uiPriority w:val="99"/>
    <w:qFormat/>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tblStylePr w:type="firstRow">
      <w:pPr>
        <w:snapToGrid/>
      </w:pPr>
      <w:rPr>
        <w:rFonts w:ascii="Arial" w:hAnsi="Arial"/>
        <w:b/>
        <w:color w:val="FFFFFF" w:themeColor="light1"/>
        <w:sz w:val="22"/>
      </w:r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3">
    <w:name w:val="清单表 6 彩色1"/>
    <w:basedOn w:val="a1"/>
    <w:uiPriority w:val="99"/>
    <w:qFormat/>
    <w:tblPr>
      <w:tblBorders>
        <w:top w:val="single" w:sz="4" w:space="0" w:color="7F7F7F"/>
        <w:bottom w:val="single" w:sz="4" w:space="0" w:color="7F7F7F"/>
      </w:tblBorders>
      <w:tblCellMar>
        <w:left w:w="0" w:type="dxa"/>
        <w:right w:w="0" w:type="dxa"/>
      </w:tblCellMar>
    </w:tblPr>
    <w:tblStylePr w:type="firstRow">
      <w:pPr>
        <w:snapToGrid/>
      </w:pPr>
      <w:rPr>
        <w:b/>
        <w:color w:val="000000" w:themeColor="text1"/>
      </w:rPr>
    </w:tblStylePr>
    <w:tblStylePr w:type="lastRow">
      <w:pPr>
        <w:snapToGrid/>
      </w:pPr>
      <w:rPr>
        <w:b/>
        <w:color w:val="000000" w:themeColor="text1"/>
      </w:r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StylePr>
    <w:tblStylePr w:type="band2Vert">
      <w:pPr>
        <w:snapToGrid/>
      </w:pPr>
    </w:tblStylePr>
    <w:tblStylePr w:type="band1Horz">
      <w:pPr>
        <w:snapToGrid/>
      </w:pPr>
      <w:rPr>
        <w:rFonts w:ascii="Arial" w:hAnsi="Arial"/>
        <w:color w:val="000000" w:themeColor="text1"/>
        <w:sz w:val="22"/>
      </w:r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3">
    <w:name w:val="清单表 7 彩色1"/>
    <w:basedOn w:val="a1"/>
    <w:uiPriority w:val="99"/>
    <w:qFormat/>
    <w:tblPr>
      <w:tblBorders>
        <w:right w:val="single" w:sz="4" w:space="0" w:color="7F7F7F"/>
      </w:tblBorders>
      <w:tblCellMar>
        <w:left w:w="0" w:type="dxa"/>
        <w:right w:w="0" w:type="dxa"/>
      </w:tblCellMar>
    </w:tblPr>
    <w:tblStylePr w:type="firstRow">
      <w:pPr>
        <w:snapToGrid/>
      </w:pPr>
      <w:rPr>
        <w:rFonts w:ascii="Arial" w:hAnsi="Arial"/>
        <w:i/>
        <w:color w:val="7F7F7F" w:themeColor="text1" w:themeTint="80"/>
        <w:sz w:val="22"/>
      </w:rPr>
    </w:tblStylePr>
    <w:tblStylePr w:type="lastRow">
      <w:pPr>
        <w:snapToGrid/>
      </w:pPr>
      <w:rPr>
        <w:rFonts w:ascii="Arial" w:hAnsi="Arial"/>
        <w:i/>
        <w:color w:val="7F7F7F" w:themeColor="text1" w:themeTint="80"/>
        <w:sz w:val="22"/>
      </w:rPr>
    </w:tblStylePr>
    <w:tblStylePr w:type="firstCol">
      <w:pPr>
        <w:snapToGrid/>
      </w:pPr>
      <w:rPr>
        <w:rFonts w:ascii="Arial" w:hAnsi="Arial"/>
        <w:i/>
        <w:color w:val="7F7F7F" w:themeColor="text1" w:themeTint="80"/>
        <w:sz w:val="22"/>
      </w:rPr>
    </w:tblStylePr>
    <w:tblStylePr w:type="lastCol">
      <w:pPr>
        <w:snapToGrid/>
      </w:pPr>
      <w:rPr>
        <w:rFonts w:ascii="Arial" w:hAnsi="Arial"/>
        <w:i/>
        <w:color w:val="7F7F7F" w:themeColor="text1" w:themeTint="80"/>
        <w:sz w:val="22"/>
      </w:rPr>
    </w:tblStylePr>
    <w:tblStylePr w:type="band1Vert">
      <w:pPr>
        <w:snapToGrid/>
      </w:pPr>
    </w:tblStylePr>
    <w:tblStylePr w:type="band2Vert">
      <w:pPr>
        <w:snapToGrid/>
      </w:pPr>
    </w:tblStylePr>
    <w:tblStylePr w:type="band1Horz">
      <w:pPr>
        <w:snapToGrid/>
      </w:pPr>
      <w:rPr>
        <w:rFonts w:ascii="Arial" w:hAnsi="Arial"/>
        <w:color w:val="7F7F7F" w:themeColor="text1" w:themeTint="80"/>
        <w:sz w:val="22"/>
      </w:r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qFormat/>
    <w:rPr>
      <w:sz w:val="18"/>
    </w:rPr>
  </w:style>
  <w:style w:type="paragraph" w:customStyle="1" w:styleId="TOC10">
    <w:name w:val="TOC 标题1"/>
    <w:uiPriority w:val="39"/>
    <w:unhideWhenUsed/>
    <w:qFormat/>
    <w:rsid w:val="00175CB9"/>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10">
    <w:name w:val="标题 1 字符"/>
    <w:link w:val="1"/>
    <w:uiPriority w:val="9"/>
    <w:qFormat/>
    <w:rPr>
      <w:rFonts w:ascii="Arial" w:eastAsia="Arial" w:hAnsi="Arial" w:cs="Arial"/>
      <w:sz w:val="40"/>
      <w:szCs w:val="40"/>
    </w:rPr>
  </w:style>
  <w:style w:type="character" w:customStyle="1" w:styleId="20">
    <w:name w:val="标题 2 字符"/>
    <w:link w:val="2"/>
    <w:uiPriority w:val="9"/>
    <w:qFormat/>
    <w:rPr>
      <w:rFonts w:ascii="Arial" w:eastAsia="Arial" w:hAnsi="Arial" w:cs="Arial"/>
      <w:sz w:val="34"/>
      <w:shd w:val="clear" w:color="auto" w:fill="FFFFFF"/>
      <w:lang w:eastAsia="en-US" w:bidi="en-US"/>
    </w:rPr>
  </w:style>
  <w:style w:type="character" w:customStyle="1" w:styleId="30">
    <w:name w:val="标题 3 字符"/>
    <w:link w:val="3"/>
    <w:uiPriority w:val="9"/>
    <w:qFormat/>
    <w:rPr>
      <w:rFonts w:ascii="Arial" w:eastAsia="Arial" w:hAnsi="Arial" w:cs="Arial"/>
      <w:sz w:val="30"/>
      <w:szCs w:val="30"/>
    </w:rPr>
  </w:style>
  <w:style w:type="character" w:customStyle="1" w:styleId="40">
    <w:name w:val="标题 4 字符"/>
    <w:link w:val="4"/>
    <w:uiPriority w:val="9"/>
    <w:qFormat/>
    <w:rPr>
      <w:rFonts w:ascii="Arial" w:eastAsia="Arial" w:hAnsi="Arial" w:cs="Arial"/>
      <w:b/>
      <w:bCs/>
      <w:sz w:val="26"/>
      <w:szCs w:val="26"/>
    </w:rPr>
  </w:style>
  <w:style w:type="character" w:customStyle="1" w:styleId="50">
    <w:name w:val="标题 5 字符"/>
    <w:link w:val="5"/>
    <w:uiPriority w:val="9"/>
    <w:qFormat/>
    <w:rPr>
      <w:rFonts w:ascii="Arial" w:eastAsia="Arial" w:hAnsi="Arial" w:cs="Arial"/>
      <w:b/>
      <w:bCs/>
      <w:sz w:val="24"/>
      <w:szCs w:val="24"/>
    </w:rPr>
  </w:style>
  <w:style w:type="character" w:customStyle="1" w:styleId="60">
    <w:name w:val="标题 6 字符"/>
    <w:link w:val="6"/>
    <w:uiPriority w:val="9"/>
    <w:qFormat/>
    <w:rPr>
      <w:rFonts w:ascii="Arial" w:eastAsia="Arial" w:hAnsi="Arial" w:cs="Arial"/>
      <w:b/>
      <w:bCs/>
      <w:sz w:val="22"/>
      <w:szCs w:val="22"/>
    </w:rPr>
  </w:style>
  <w:style w:type="character" w:customStyle="1" w:styleId="70">
    <w:name w:val="标题 7 字符"/>
    <w:link w:val="7"/>
    <w:uiPriority w:val="9"/>
    <w:qFormat/>
    <w:rPr>
      <w:rFonts w:ascii="Arial" w:eastAsia="Arial" w:hAnsi="Arial" w:cs="Arial"/>
      <w:b/>
      <w:bCs/>
      <w:i/>
      <w:iCs/>
      <w:sz w:val="22"/>
      <w:szCs w:val="22"/>
    </w:rPr>
  </w:style>
  <w:style w:type="character" w:customStyle="1" w:styleId="80">
    <w:name w:val="标题 8 字符"/>
    <w:link w:val="8"/>
    <w:uiPriority w:val="9"/>
    <w:qFormat/>
    <w:rPr>
      <w:rFonts w:ascii="Arial" w:eastAsia="Arial" w:hAnsi="Arial" w:cs="Arial"/>
      <w:i/>
      <w:iCs/>
      <w:sz w:val="22"/>
      <w:szCs w:val="22"/>
    </w:rPr>
  </w:style>
  <w:style w:type="character" w:customStyle="1" w:styleId="90">
    <w:name w:val="标题 9 字符"/>
    <w:link w:val="9"/>
    <w:uiPriority w:val="9"/>
    <w:qFormat/>
    <w:rPr>
      <w:rFonts w:ascii="Arial" w:eastAsia="Arial" w:hAnsi="Arial" w:cs="Arial"/>
      <w:i/>
      <w:iCs/>
      <w:sz w:val="21"/>
      <w:szCs w:val="21"/>
    </w:rPr>
  </w:style>
  <w:style w:type="paragraph" w:styleId="af7">
    <w:name w:val="List Paragraph"/>
    <w:uiPriority w:val="34"/>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contextualSpacing/>
    </w:pPr>
    <w:rPr>
      <w:lang w:eastAsia="en-US" w:bidi="en-US"/>
    </w:rPr>
  </w:style>
  <w:style w:type="paragraph" w:styleId="af8">
    <w:name w:val="No Spacing"/>
    <w:uiPriority w:val="1"/>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pPr>
    <w:rPr>
      <w:lang w:eastAsia="en-US" w:bidi="en-US"/>
    </w:rPr>
  </w:style>
  <w:style w:type="character" w:customStyle="1" w:styleId="af0">
    <w:name w:val="标题 字符"/>
    <w:link w:val="af"/>
    <w:uiPriority w:val="10"/>
    <w:qFormat/>
    <w:rPr>
      <w:sz w:val="48"/>
      <w:szCs w:val="48"/>
      <w:shd w:val="clear" w:color="auto" w:fill="FFFFFF"/>
      <w:lang w:eastAsia="en-US" w:bidi="en-US"/>
    </w:rPr>
  </w:style>
  <w:style w:type="character" w:customStyle="1" w:styleId="ac">
    <w:name w:val="副标题 字符"/>
    <w:link w:val="ab"/>
    <w:uiPriority w:val="11"/>
    <w:qFormat/>
    <w:rPr>
      <w:sz w:val="24"/>
      <w:szCs w:val="24"/>
      <w:shd w:val="clear" w:color="auto" w:fill="FFFFFF"/>
      <w:lang w:eastAsia="en-US" w:bidi="en-US"/>
    </w:rPr>
  </w:style>
  <w:style w:type="paragraph" w:styleId="af9">
    <w:name w:val="Quote"/>
    <w:link w:val="afa"/>
    <w:uiPriority w:val="29"/>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ight="720"/>
    </w:pPr>
    <w:rPr>
      <w:i/>
      <w:lang w:eastAsia="en-US" w:bidi="en-US"/>
    </w:rPr>
  </w:style>
  <w:style w:type="character" w:customStyle="1" w:styleId="afa">
    <w:name w:val="引用 字符"/>
    <w:link w:val="af9"/>
    <w:uiPriority w:val="29"/>
    <w:qFormat/>
    <w:rPr>
      <w:i/>
      <w:shd w:val="clear" w:color="auto" w:fill="FFFFFF"/>
      <w:lang w:eastAsia="en-US" w:bidi="en-US"/>
    </w:rPr>
  </w:style>
  <w:style w:type="paragraph" w:styleId="afb">
    <w:name w:val="Intense Quote"/>
    <w:link w:val="afc"/>
    <w:uiPriority w:val="30"/>
    <w:qFormat/>
    <w:rsid w:val="006704BD"/>
    <w:pPr>
      <w:pBdr>
        <w:top w:val="single" w:sz="4" w:space="5" w:color="FFFFFF"/>
        <w:left w:val="single" w:sz="4" w:space="10" w:color="FFFFFF"/>
        <w:bottom w:val="single" w:sz="4" w:space="5" w:color="FFFFFF"/>
        <w:right w:val="single" w:sz="4" w:space="10" w:color="FFFFFF"/>
        <w:between w:val="none" w:sz="0" w:space="0" w:color="000000"/>
      </w:pBdr>
      <w:shd w:val="clear" w:color="auto" w:fill="F2F2F2"/>
      <w:ind w:left="720" w:right="720"/>
    </w:pPr>
    <w:rPr>
      <w:i/>
      <w:lang w:eastAsia="en-US" w:bidi="en-US"/>
    </w:rPr>
  </w:style>
  <w:style w:type="character" w:customStyle="1" w:styleId="afc">
    <w:name w:val="明显引用 字符"/>
    <w:link w:val="afb"/>
    <w:uiPriority w:val="30"/>
    <w:qFormat/>
    <w:rPr>
      <w:i/>
      <w:shd w:val="clear" w:color="auto" w:fill="F2F2F2"/>
      <w:lang w:eastAsia="en-US" w:bidi="en-US"/>
    </w:rPr>
  </w:style>
  <w:style w:type="character" w:customStyle="1" w:styleId="aa">
    <w:name w:val="页眉 字符"/>
    <w:link w:val="a9"/>
    <w:uiPriority w:val="99"/>
    <w:qFormat/>
    <w:rPr>
      <w:shd w:val="clear" w:color="auto" w:fill="FFFFFF"/>
      <w:lang w:eastAsia="en-US" w:bidi="en-US"/>
    </w:rPr>
  </w:style>
  <w:style w:type="character" w:customStyle="1" w:styleId="a8">
    <w:name w:val="页脚 字符"/>
    <w:link w:val="a7"/>
    <w:uiPriority w:val="99"/>
    <w:qFormat/>
    <w:rPr>
      <w:shd w:val="clear" w:color="auto" w:fill="FFFFFF"/>
      <w:lang w:eastAsia="en-US" w:bidi="en-US"/>
    </w:rPr>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uiPriority w:val="99"/>
    <w:qFormat/>
    <w:tblPr>
      <w:tblBorders>
        <w:top w:val="single" w:sz="4" w:space="0" w:color="4F81BD"/>
        <w:bottom w:val="single" w:sz="4" w:space="0" w:color="4F81B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uiPriority w:val="99"/>
    <w:qFormat/>
    <w:tblPr>
      <w:tblBorders>
        <w:top w:val="single" w:sz="4" w:space="0" w:color="D99695"/>
        <w:bottom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uiPriority w:val="99"/>
    <w:qFormat/>
    <w:tblPr>
      <w:tblBorders>
        <w:top w:val="single" w:sz="4" w:space="0" w:color="C3D69B"/>
        <w:bottom w:val="single" w:sz="4" w:space="0" w:color="C3D69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uiPriority w:val="99"/>
    <w:qFormat/>
    <w:tblPr>
      <w:tblBorders>
        <w:top w:val="single" w:sz="4" w:space="0" w:color="B2A1C6"/>
        <w:bottom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uiPriority w:val="99"/>
    <w:qFormat/>
    <w:tblPr>
      <w:tblBorders>
        <w:top w:val="single" w:sz="4" w:space="0" w:color="92CCDC"/>
        <w:bottom w:val="single" w:sz="4" w:space="0" w:color="92CCDC"/>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uiPriority w:val="99"/>
    <w:qFormat/>
    <w:tblPr>
      <w:tblBorders>
        <w:top w:val="single" w:sz="4" w:space="0" w:color="FAC090"/>
        <w:bottom w:val="single" w:sz="4" w:space="0" w:color="FAC09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uiPriority w:val="99"/>
    <w:qFormat/>
    <w:tblPr>
      <w:tblBorders>
        <w:right w:val="single" w:sz="4" w:space="0" w:color="4F81BD"/>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uiPriority w:val="99"/>
    <w:qFormat/>
    <w:tblPr>
      <w:tblBorders>
        <w:right w:val="single" w:sz="4" w:space="0" w:color="D99695"/>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uiPriority w:val="99"/>
    <w:qFormat/>
    <w:tblPr>
      <w:tblBorders>
        <w:right w:val="single" w:sz="4" w:space="0" w:color="C3D69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uiPriority w:val="99"/>
    <w:qFormat/>
    <w:tblPr>
      <w:tblBorders>
        <w:right w:val="single" w:sz="4" w:space="0" w:color="B2A1C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uiPriority w:val="99"/>
    <w:qFormat/>
    <w:tblPr>
      <w:tblBorders>
        <w:right w:val="single" w:sz="4" w:space="0" w:color="92CCDC"/>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uiPriority w:val="99"/>
    <w:tblPr>
      <w:tblBorders>
        <w:right w:val="single" w:sz="4" w:space="0" w:color="FAC09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uiPriority w:val="99"/>
    <w:qFormat/>
    <w:rPr>
      <w:color w:val="404040"/>
      <w:szCs w:val="2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uiPriority w:val="99"/>
    <w:qFormat/>
    <w:rPr>
      <w:color w:val="404040"/>
      <w:szCs w:val="2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uiPriority w:val="99"/>
    <w:qFormat/>
    <w:rPr>
      <w:color w:val="404040"/>
      <w:szCs w:val="2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uiPriority w:val="99"/>
    <w:qFormat/>
    <w:rPr>
      <w:color w:val="404040"/>
      <w:szCs w:val="2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uiPriority w:val="99"/>
    <w:qFormat/>
    <w:rPr>
      <w:color w:val="404040"/>
      <w:szCs w:val="2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uiPriority w:val="99"/>
    <w:qFormat/>
    <w:rPr>
      <w:color w:val="404040"/>
      <w:szCs w:val="2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uiPriority w:val="99"/>
    <w:qFormat/>
    <w:rPr>
      <w:color w:val="404040"/>
      <w:szCs w:val="2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uiPriority w:val="99"/>
    <w:qFormat/>
    <w:rPr>
      <w:color w:val="404040"/>
      <w:szCs w:val="2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uiPriority w:val="99"/>
    <w:qFormat/>
    <w:rPr>
      <w:color w:val="404040"/>
      <w:szCs w:val="2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uiPriority w:val="99"/>
    <w:qFormat/>
    <w:rPr>
      <w:color w:val="404040"/>
      <w:szCs w:val="2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uiPriority w:val="99"/>
    <w:qFormat/>
    <w:rPr>
      <w:color w:val="404040"/>
      <w:szCs w:val="2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uiPriority w:val="99"/>
    <w:qFormat/>
    <w:rPr>
      <w:color w:val="404040"/>
      <w:szCs w:val="2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uiPriority w:val="99"/>
    <w:qFormat/>
    <w:rPr>
      <w:color w:val="404040"/>
      <w:szCs w:val="2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uiPriority w:val="99"/>
    <w:qFormat/>
    <w:rPr>
      <w:color w:val="404040"/>
      <w:szCs w:val="2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e">
    <w:name w:val="脚注文本 字符"/>
    <w:link w:val="ad"/>
    <w:uiPriority w:val="99"/>
    <w:qFormat/>
    <w:rPr>
      <w:sz w:val="18"/>
      <w:shd w:val="clear" w:color="auto" w:fill="FFFFFF"/>
      <w:lang w:eastAsia="en-US" w:bidi="en-US"/>
    </w:rPr>
  </w:style>
  <w:style w:type="paragraph" w:customStyle="1" w:styleId="TOC11">
    <w:name w:val="TOC 标题11"/>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pPr>
    <w:rPr>
      <w:lang w:eastAsia="en-US" w:bidi="en-US"/>
    </w:rPr>
  </w:style>
  <w:style w:type="paragraph" w:customStyle="1" w:styleId="15">
    <w:name w:val="正文1"/>
    <w:link w:val="16"/>
    <w:qFormat/>
    <w:rsid w:val="006704B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sz w:val="21"/>
      <w:szCs w:val="24"/>
    </w:rPr>
  </w:style>
  <w:style w:type="paragraph" w:customStyle="1" w:styleId="116">
    <w:name w:val="标题 11"/>
    <w:basedOn w:val="15"/>
    <w:next w:val="15"/>
    <w:qFormat/>
    <w:pPr>
      <w:keepNext/>
      <w:keepLines/>
      <w:spacing w:before="340" w:after="330" w:line="578" w:lineRule="auto"/>
      <w:outlineLvl w:val="0"/>
    </w:pPr>
    <w:rPr>
      <w:b/>
      <w:sz w:val="44"/>
      <w:szCs w:val="20"/>
    </w:rPr>
  </w:style>
  <w:style w:type="character" w:customStyle="1" w:styleId="17">
    <w:name w:val="默认段落字体1"/>
    <w:qFormat/>
  </w:style>
  <w:style w:type="table" w:customStyle="1" w:styleId="18">
    <w:name w:val="普通表格1"/>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9">
    <w:name w:val="页码1"/>
    <w:basedOn w:val="17"/>
    <w:qFormat/>
  </w:style>
  <w:style w:type="character" w:customStyle="1" w:styleId="1a">
    <w:name w:val="超链接1"/>
    <w:qFormat/>
    <w:rPr>
      <w:color w:val="0000FF"/>
      <w:u w:val="single"/>
    </w:rPr>
  </w:style>
  <w:style w:type="character" w:customStyle="1" w:styleId="16">
    <w:name w:val="批注引用1"/>
    <w:link w:val="15"/>
    <w:qFormat/>
    <w:rPr>
      <w:sz w:val="21"/>
      <w:szCs w:val="24"/>
      <w:shd w:val="clear" w:color="auto" w:fill="FFFFFF"/>
    </w:rPr>
  </w:style>
  <w:style w:type="character" w:customStyle="1" w:styleId="Char">
    <w:name w:val="页眉 Char"/>
    <w:link w:val="1b"/>
    <w:qFormat/>
    <w:rPr>
      <w:sz w:val="18"/>
      <w:szCs w:val="18"/>
    </w:rPr>
  </w:style>
  <w:style w:type="paragraph" w:customStyle="1" w:styleId="1b">
    <w:name w:val="页眉1"/>
    <w:basedOn w:val="15"/>
    <w:link w:val="Char"/>
    <w:qFormat/>
    <w:pPr>
      <w:pBdr>
        <w:bottom w:val="single" w:sz="6" w:space="1" w:color="000000"/>
      </w:pBdr>
      <w:tabs>
        <w:tab w:val="center" w:pos="4153"/>
        <w:tab w:val="right" w:pos="8306"/>
      </w:tabs>
      <w:jc w:val="center"/>
    </w:pPr>
    <w:rPr>
      <w:sz w:val="18"/>
      <w:szCs w:val="18"/>
    </w:rPr>
  </w:style>
  <w:style w:type="paragraph" w:customStyle="1" w:styleId="1c">
    <w:name w:val="批注主题1"/>
    <w:basedOn w:val="1d"/>
    <w:next w:val="1d"/>
    <w:semiHidden/>
    <w:qFormat/>
    <w:rPr>
      <w:b/>
      <w:bCs/>
    </w:rPr>
  </w:style>
  <w:style w:type="paragraph" w:customStyle="1" w:styleId="1d">
    <w:name w:val="批注文字1"/>
    <w:basedOn w:val="15"/>
    <w:semiHidden/>
    <w:qFormat/>
    <w:pPr>
      <w:jc w:val="left"/>
    </w:pPr>
  </w:style>
  <w:style w:type="paragraph" w:customStyle="1" w:styleId="1e">
    <w:name w:val="页脚1"/>
    <w:basedOn w:val="15"/>
    <w:qFormat/>
    <w:pPr>
      <w:tabs>
        <w:tab w:val="center" w:pos="4153"/>
        <w:tab w:val="right" w:pos="8306"/>
      </w:tabs>
      <w:jc w:val="left"/>
    </w:pPr>
    <w:rPr>
      <w:sz w:val="18"/>
      <w:szCs w:val="18"/>
    </w:rPr>
  </w:style>
  <w:style w:type="paragraph" w:customStyle="1" w:styleId="1f">
    <w:name w:val="正文文本缩进1"/>
    <w:basedOn w:val="15"/>
    <w:qFormat/>
    <w:pPr>
      <w:spacing w:line="400" w:lineRule="exact"/>
      <w:ind w:firstLine="538"/>
    </w:pPr>
    <w:rPr>
      <w:rFonts w:ascii="仿宋_GB2312" w:eastAsia="仿宋_GB2312" w:hAnsi="宋体"/>
      <w:color w:val="000000"/>
      <w:sz w:val="28"/>
    </w:rPr>
  </w:style>
  <w:style w:type="paragraph" w:customStyle="1" w:styleId="316">
    <w:name w:val="目录 31"/>
    <w:basedOn w:val="15"/>
    <w:next w:val="15"/>
    <w:semiHidden/>
    <w:qFormat/>
    <w:pPr>
      <w:ind w:left="840"/>
    </w:pPr>
  </w:style>
  <w:style w:type="paragraph" w:customStyle="1" w:styleId="416">
    <w:name w:val="目录 41"/>
    <w:basedOn w:val="15"/>
    <w:next w:val="15"/>
    <w:semiHidden/>
    <w:qFormat/>
    <w:pPr>
      <w:ind w:left="1260"/>
    </w:pPr>
  </w:style>
  <w:style w:type="paragraph" w:customStyle="1" w:styleId="1f0">
    <w:name w:val="批注框文本1"/>
    <w:basedOn w:val="15"/>
    <w:semiHidden/>
    <w:qFormat/>
    <w:rPr>
      <w:sz w:val="18"/>
      <w:szCs w:val="18"/>
    </w:rPr>
  </w:style>
  <w:style w:type="paragraph" w:customStyle="1" w:styleId="810">
    <w:name w:val="目录 81"/>
    <w:basedOn w:val="15"/>
    <w:next w:val="15"/>
    <w:semiHidden/>
    <w:qFormat/>
    <w:pPr>
      <w:ind w:left="2940"/>
    </w:pPr>
  </w:style>
  <w:style w:type="paragraph" w:customStyle="1" w:styleId="516">
    <w:name w:val="目录 51"/>
    <w:basedOn w:val="15"/>
    <w:next w:val="15"/>
    <w:semiHidden/>
    <w:qFormat/>
    <w:pPr>
      <w:ind w:left="1680"/>
    </w:pPr>
  </w:style>
  <w:style w:type="paragraph" w:customStyle="1" w:styleId="216">
    <w:name w:val="正文文本缩进 21"/>
    <w:basedOn w:val="15"/>
    <w:qFormat/>
    <w:pPr>
      <w:tabs>
        <w:tab w:val="left" w:pos="540"/>
      </w:tabs>
      <w:ind w:left="540" w:firstLine="540"/>
    </w:pPr>
    <w:rPr>
      <w:rFonts w:eastAsia="长城仿宋"/>
      <w:sz w:val="24"/>
      <w:szCs w:val="20"/>
    </w:rPr>
  </w:style>
  <w:style w:type="paragraph" w:customStyle="1" w:styleId="910">
    <w:name w:val="目录 91"/>
    <w:basedOn w:val="15"/>
    <w:next w:val="15"/>
    <w:semiHidden/>
    <w:qFormat/>
    <w:pPr>
      <w:ind w:left="3360"/>
    </w:pPr>
  </w:style>
  <w:style w:type="paragraph" w:customStyle="1" w:styleId="1f1">
    <w:name w:val="正文缩进1"/>
    <w:basedOn w:val="15"/>
    <w:qFormat/>
    <w:pPr>
      <w:ind w:firstLine="420"/>
    </w:pPr>
    <w:rPr>
      <w:szCs w:val="20"/>
    </w:rPr>
  </w:style>
  <w:style w:type="paragraph" w:customStyle="1" w:styleId="1f2">
    <w:name w:val="文档结构图1"/>
    <w:basedOn w:val="15"/>
    <w:semiHidden/>
    <w:qFormat/>
    <w:pPr>
      <w:shd w:val="clear" w:color="auto" w:fill="000080"/>
    </w:pPr>
  </w:style>
  <w:style w:type="paragraph" w:customStyle="1" w:styleId="217">
    <w:name w:val="正文文本 21"/>
    <w:basedOn w:val="15"/>
    <w:qFormat/>
    <w:pPr>
      <w:spacing w:after="120" w:line="480" w:lineRule="auto"/>
    </w:pPr>
  </w:style>
  <w:style w:type="paragraph" w:customStyle="1" w:styleId="218">
    <w:name w:val="目录 21"/>
    <w:basedOn w:val="15"/>
    <w:next w:val="15"/>
    <w:semiHidden/>
    <w:qFormat/>
    <w:pPr>
      <w:ind w:left="420"/>
    </w:pPr>
  </w:style>
  <w:style w:type="paragraph" w:customStyle="1" w:styleId="317">
    <w:name w:val="正文文本缩进 31"/>
    <w:basedOn w:val="15"/>
    <w:qFormat/>
    <w:pPr>
      <w:ind w:left="360" w:firstLine="540"/>
    </w:pPr>
    <w:rPr>
      <w:rFonts w:eastAsia="长城仿宋"/>
      <w:sz w:val="24"/>
      <w:szCs w:val="20"/>
    </w:rPr>
  </w:style>
  <w:style w:type="paragraph" w:customStyle="1" w:styleId="1f3">
    <w:name w:val="纯文本1"/>
    <w:basedOn w:val="15"/>
    <w:qFormat/>
    <w:rPr>
      <w:rFonts w:ascii="宋体" w:hAnsi="Courier New"/>
      <w:szCs w:val="21"/>
    </w:rPr>
  </w:style>
  <w:style w:type="paragraph" w:customStyle="1" w:styleId="714">
    <w:name w:val="目录 71"/>
    <w:basedOn w:val="15"/>
    <w:next w:val="15"/>
    <w:semiHidden/>
    <w:qFormat/>
    <w:pPr>
      <w:ind w:left="2520"/>
    </w:pPr>
  </w:style>
  <w:style w:type="paragraph" w:customStyle="1" w:styleId="117">
    <w:name w:val="目录 11"/>
    <w:basedOn w:val="15"/>
    <w:next w:val="15"/>
    <w:qFormat/>
    <w:pPr>
      <w:tabs>
        <w:tab w:val="right" w:pos="8296"/>
      </w:tabs>
      <w:jc w:val="center"/>
    </w:pPr>
    <w:rPr>
      <w:rFonts w:ascii="宋体" w:hAnsi="宋体"/>
      <w:b/>
      <w:caps/>
      <w:sz w:val="30"/>
      <w:szCs w:val="30"/>
    </w:rPr>
  </w:style>
  <w:style w:type="paragraph" w:customStyle="1" w:styleId="614">
    <w:name w:val="目录 61"/>
    <w:basedOn w:val="15"/>
    <w:next w:val="15"/>
    <w:semiHidden/>
    <w:qFormat/>
    <w:pPr>
      <w:ind w:left="2100"/>
    </w:pPr>
  </w:style>
  <w:style w:type="paragraph" w:customStyle="1" w:styleId="Default">
    <w:name w:val="Default"/>
    <w:qFormat/>
    <w:rsid w:val="006704B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宋体"/>
      <w:color w:val="000000"/>
      <w:sz w:val="24"/>
      <w:szCs w:val="24"/>
    </w:rPr>
  </w:style>
  <w:style w:type="paragraph" w:customStyle="1" w:styleId="Web">
    <w:name w:val="普通 (Web)"/>
    <w:basedOn w:val="15"/>
    <w:qFormat/>
    <w:pPr>
      <w:widowControl/>
      <w:spacing w:before="100" w:beforeAutospacing="1" w:after="100" w:afterAutospacing="1"/>
      <w:jc w:val="left"/>
    </w:pPr>
    <w:rPr>
      <w:rFonts w:ascii="宋体" w:hAnsi="宋体"/>
      <w:sz w:val="24"/>
    </w:rPr>
  </w:style>
  <w:style w:type="paragraph" w:customStyle="1" w:styleId="Char0">
    <w:name w:val="Char"/>
    <w:basedOn w:val="15"/>
    <w:qFormat/>
  </w:style>
  <w:style w:type="paragraph" w:customStyle="1" w:styleId="-11">
    <w:name w:val="彩色底纹 - 着色 11"/>
    <w:semiHidden/>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4"/>
    </w:rPr>
  </w:style>
  <w:style w:type="paragraph" w:customStyle="1" w:styleId="Char1">
    <w:name w:val="Char1"/>
    <w:basedOn w:val="15"/>
    <w:qFormat/>
  </w:style>
  <w:style w:type="paragraph" w:customStyle="1" w:styleId="p0">
    <w:name w:val="p0"/>
    <w:basedOn w:val="15"/>
    <w:qFormat/>
    <w:pPr>
      <w:widowControl/>
    </w:pPr>
    <w:rPr>
      <w:szCs w:val="21"/>
    </w:rPr>
  </w:style>
  <w:style w:type="character" w:customStyle="1" w:styleId="a6">
    <w:name w:val="批注框文本 字符"/>
    <w:link w:val="a5"/>
    <w:uiPriority w:val="99"/>
    <w:semiHidden/>
    <w:rPr>
      <w:sz w:val="18"/>
      <w:szCs w:val="18"/>
      <w:shd w:val="clear" w:color="auto" w:fill="FFFFFF"/>
      <w:lang w:eastAsia="en-US" w:bidi="en-US"/>
    </w:rPr>
  </w:style>
  <w:style w:type="character" w:customStyle="1" w:styleId="a4">
    <w:name w:val="批注文字 字符"/>
    <w:link w:val="a3"/>
    <w:uiPriority w:val="99"/>
    <w:semiHidden/>
    <w:rPr>
      <w:szCs w:val="22"/>
      <w:shd w:val="clear" w:color="auto" w:fill="FFFFFF"/>
      <w:lang w:eastAsia="en-US" w:bidi="en-US"/>
    </w:rPr>
  </w:style>
  <w:style w:type="character" w:customStyle="1" w:styleId="af2">
    <w:name w:val="批注主题 字符"/>
    <w:link w:val="af1"/>
    <w:uiPriority w:val="99"/>
    <w:semiHidden/>
    <w:rPr>
      <w:b/>
      <w:bCs/>
      <w:shd w:val="clear" w:color="auto" w:fill="FFFFFF"/>
      <w:lang w:eastAsia="en-US" w:bidi="en-US"/>
    </w:rPr>
  </w:style>
  <w:style w:type="paragraph" w:customStyle="1" w:styleId="1f4">
    <w:name w:val="修订1"/>
    <w:hidden/>
    <w:uiPriority w:val="99"/>
    <w:semiHidden/>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pPr>
    <w:rPr>
      <w:lang w:eastAsia="en-US" w:bidi="en-US"/>
    </w:rPr>
  </w:style>
  <w:style w:type="paragraph" w:customStyle="1" w:styleId="25">
    <w:name w:val="修订2"/>
    <w:hidden/>
    <w:uiPriority w:val="99"/>
    <w:semiHidden/>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pPr>
    <w:rPr>
      <w:lang w:eastAsia="en-US" w:bidi="en-US"/>
    </w:rPr>
  </w:style>
  <w:style w:type="paragraph" w:styleId="afd">
    <w:name w:val="Revision"/>
    <w:hidden/>
    <w:uiPriority w:val="99"/>
    <w:semiHidden/>
    <w:rPr>
      <w:lang w:eastAsia="en-US" w:bidi="en-US"/>
    </w:rPr>
  </w:style>
  <w:style w:type="paragraph" w:styleId="afe">
    <w:name w:val="Body Text Indent"/>
    <w:basedOn w:val="a"/>
    <w:link w:val="aff"/>
    <w:qFormat/>
    <w:rsid w:val="00871D16"/>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line="400" w:lineRule="exact"/>
      <w:ind w:firstLineChars="192" w:firstLine="538"/>
      <w:jc w:val="both"/>
    </w:pPr>
    <w:rPr>
      <w:rFonts w:ascii="仿宋_GB2312" w:eastAsia="仿宋_GB2312" w:hAnsi="宋体"/>
      <w:color w:val="000000"/>
      <w:kern w:val="2"/>
      <w:sz w:val="28"/>
      <w:szCs w:val="24"/>
      <w:lang w:eastAsia="zh-CN" w:bidi="ar-SA"/>
    </w:rPr>
  </w:style>
  <w:style w:type="character" w:customStyle="1" w:styleId="aff">
    <w:name w:val="正文文本缩进 字符"/>
    <w:basedOn w:val="a0"/>
    <w:link w:val="afe"/>
    <w:rsid w:val="00871D16"/>
    <w:rPr>
      <w:rFonts w:ascii="仿宋_GB2312" w:eastAsia="仿宋_GB2312" w:hAnsi="宋体"/>
      <w:color w:val="000000"/>
      <w:kern w:val="2"/>
      <w:sz w:val="28"/>
      <w:szCs w:val="24"/>
    </w:rPr>
  </w:style>
  <w:style w:type="paragraph" w:customStyle="1" w:styleId="TOC111">
    <w:name w:val="TOC 标题111"/>
    <w:uiPriority w:val="39"/>
    <w:unhideWhenUsed/>
    <w:qFormat/>
    <w:rsid w:val="006704BD"/>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paragraph" w:customStyle="1" w:styleId="35">
    <w:name w:val="修订3"/>
    <w:hidden/>
    <w:uiPriority w:val="99"/>
    <w:semiHidden/>
    <w:rsid w:val="006704BD"/>
    <w:pPr>
      <w:pBdr>
        <w:top w:val="none" w:sz="0" w:space="0" w:color="000000"/>
        <w:left w:val="none" w:sz="0" w:space="0" w:color="000000"/>
        <w:bottom w:val="none" w:sz="0" w:space="0" w:color="000000"/>
        <w:right w:val="none" w:sz="0" w:space="0" w:color="000000"/>
        <w:between w:val="none" w:sz="0" w:space="0" w:color="000000"/>
      </w:pBdr>
    </w:pPr>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798A5-6FC9-41F6-8AB6-FD8FDCEE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3312</Words>
  <Characters>18881</Characters>
  <Application>Microsoft Office Word</Application>
  <DocSecurity>0</DocSecurity>
  <Lines>157</Lines>
  <Paragraphs>44</Paragraphs>
  <ScaleCrop>false</ScaleCrop>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嘉实恒指港股通交易型开放式指数证券投资基金托管协议</dc:title>
  <dc:creator>董明睿</dc:creator>
  <cp:lastModifiedBy>董明睿</cp:lastModifiedBy>
  <cp:revision>3</cp:revision>
  <cp:lastPrinted>2025-08-11T00:54:00Z</cp:lastPrinted>
  <dcterms:created xsi:type="dcterms:W3CDTF">2025-09-19T02:22:00Z</dcterms:created>
  <dcterms:modified xsi:type="dcterms:W3CDTF">2025-09-19T02:22:00Z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392BCF6F52F44F4EB8DE895ED2EC9121</vt:lpwstr>
  </property>
</Properties>
</file>