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1AE9A" w14:textId="77777777" w:rsidR="00232224" w:rsidRDefault="00232224">
      <w:pPr>
        <w:spacing w:line="360" w:lineRule="auto"/>
        <w:jc w:val="center"/>
        <w:rPr>
          <w:rFonts w:ascii="宋体" w:hAnsi="宋体" w:cs="Times New Roman"/>
          <w:sz w:val="28"/>
          <w:szCs w:val="28"/>
        </w:rPr>
      </w:pPr>
    </w:p>
    <w:p w14:paraId="23C40C1C" w14:textId="77777777" w:rsidR="00232224" w:rsidRDefault="00232224">
      <w:pPr>
        <w:spacing w:line="360" w:lineRule="auto"/>
        <w:jc w:val="center"/>
        <w:rPr>
          <w:rFonts w:ascii="宋体" w:hAnsi="宋体" w:cs="Times New Roman"/>
          <w:sz w:val="28"/>
          <w:szCs w:val="28"/>
        </w:rPr>
      </w:pPr>
    </w:p>
    <w:p w14:paraId="3311508F" w14:textId="77777777" w:rsidR="00232224" w:rsidRDefault="00232224">
      <w:pPr>
        <w:spacing w:line="360" w:lineRule="auto"/>
        <w:jc w:val="center"/>
        <w:rPr>
          <w:rFonts w:ascii="宋体" w:hAnsi="宋体" w:cs="Times New Roman"/>
          <w:sz w:val="28"/>
          <w:szCs w:val="28"/>
        </w:rPr>
      </w:pPr>
    </w:p>
    <w:p w14:paraId="3A4C553E" w14:textId="77777777" w:rsidR="00232224" w:rsidRDefault="00232224">
      <w:pPr>
        <w:spacing w:line="360" w:lineRule="auto"/>
        <w:jc w:val="center"/>
        <w:rPr>
          <w:rFonts w:ascii="宋体" w:hAnsi="宋体" w:cs="Times New Roman"/>
          <w:sz w:val="28"/>
          <w:szCs w:val="28"/>
        </w:rPr>
      </w:pPr>
    </w:p>
    <w:p w14:paraId="1D6EF674" w14:textId="77777777" w:rsidR="00232224" w:rsidRDefault="00232224">
      <w:pPr>
        <w:spacing w:line="360" w:lineRule="auto"/>
        <w:jc w:val="center"/>
        <w:rPr>
          <w:rFonts w:ascii="宋体" w:hAnsi="宋体" w:cs="Times New Roman"/>
          <w:sz w:val="28"/>
          <w:szCs w:val="28"/>
        </w:rPr>
      </w:pPr>
    </w:p>
    <w:p w14:paraId="44F18C31" w14:textId="77777777" w:rsidR="00232224" w:rsidRDefault="00232224">
      <w:pPr>
        <w:spacing w:line="360" w:lineRule="auto"/>
        <w:jc w:val="center"/>
        <w:rPr>
          <w:rFonts w:ascii="宋体" w:hAnsi="宋体" w:cs="Times New Roman"/>
          <w:sz w:val="28"/>
          <w:szCs w:val="28"/>
        </w:rPr>
      </w:pPr>
    </w:p>
    <w:p w14:paraId="019C1BA8" w14:textId="77777777" w:rsidR="00232224" w:rsidRDefault="00232224">
      <w:pPr>
        <w:spacing w:line="360" w:lineRule="auto"/>
        <w:jc w:val="center"/>
        <w:rPr>
          <w:rFonts w:ascii="宋体" w:hAnsi="宋体" w:cs="Times New Roman"/>
          <w:sz w:val="28"/>
          <w:szCs w:val="28"/>
        </w:rPr>
      </w:pPr>
    </w:p>
    <w:p w14:paraId="5CDDA611" w14:textId="77777777" w:rsidR="00232224" w:rsidRDefault="00232224">
      <w:pPr>
        <w:spacing w:line="360" w:lineRule="auto"/>
        <w:jc w:val="center"/>
        <w:rPr>
          <w:rFonts w:ascii="宋体" w:hAnsi="宋体" w:cs="Times New Roman"/>
          <w:sz w:val="28"/>
          <w:szCs w:val="28"/>
        </w:rPr>
      </w:pPr>
    </w:p>
    <w:p w14:paraId="6B338BF0" w14:textId="4839E80A" w:rsidR="009A2181" w:rsidRDefault="00000000">
      <w:pPr>
        <w:spacing w:line="360" w:lineRule="auto"/>
        <w:jc w:val="center"/>
        <w:rPr>
          <w:rFonts w:ascii="宋体" w:hAnsi="宋体" w:cs="Times New Roman"/>
          <w:b/>
          <w:sz w:val="36"/>
          <w:szCs w:val="28"/>
        </w:rPr>
      </w:pPr>
      <w:r>
        <w:rPr>
          <w:rFonts w:ascii="宋体" w:hAnsi="宋体" w:cs="Times New Roman" w:hint="eastAsia"/>
          <w:b/>
          <w:sz w:val="36"/>
          <w:szCs w:val="28"/>
        </w:rPr>
        <w:t>海富通产业优选混合型证券投资基金托管协议</w:t>
      </w:r>
    </w:p>
    <w:p w14:paraId="3E38B032" w14:textId="02A8C853" w:rsidR="00232224" w:rsidRDefault="00232224">
      <w:pPr>
        <w:spacing w:line="360" w:lineRule="auto"/>
        <w:jc w:val="center"/>
        <w:rPr>
          <w:rFonts w:ascii="宋体" w:hAnsi="宋体" w:cs="Times New Roman"/>
          <w:b/>
          <w:sz w:val="36"/>
          <w:szCs w:val="28"/>
        </w:rPr>
      </w:pPr>
    </w:p>
    <w:p w14:paraId="1FCC4130" w14:textId="77777777" w:rsidR="00232224" w:rsidRDefault="00232224">
      <w:pPr>
        <w:spacing w:line="360" w:lineRule="auto"/>
        <w:jc w:val="center"/>
        <w:rPr>
          <w:rFonts w:ascii="宋体" w:hAnsi="宋体" w:cs="Times New Roman"/>
          <w:sz w:val="28"/>
          <w:szCs w:val="28"/>
        </w:rPr>
      </w:pPr>
    </w:p>
    <w:p w14:paraId="79ED8BCD" w14:textId="77777777" w:rsidR="00232224" w:rsidRDefault="00232224">
      <w:pPr>
        <w:spacing w:line="360" w:lineRule="auto"/>
        <w:jc w:val="center"/>
        <w:rPr>
          <w:rFonts w:ascii="宋体" w:hAnsi="宋体" w:cs="Times New Roman"/>
          <w:sz w:val="28"/>
          <w:szCs w:val="28"/>
        </w:rPr>
      </w:pPr>
    </w:p>
    <w:p w14:paraId="29192E9C" w14:textId="77777777" w:rsidR="00232224" w:rsidRDefault="00232224">
      <w:pPr>
        <w:spacing w:line="360" w:lineRule="auto"/>
        <w:jc w:val="center"/>
        <w:rPr>
          <w:rFonts w:ascii="宋体" w:hAnsi="宋体" w:cs="Times New Roman"/>
          <w:sz w:val="28"/>
          <w:szCs w:val="28"/>
        </w:rPr>
      </w:pPr>
    </w:p>
    <w:p w14:paraId="461DE951" w14:textId="77777777" w:rsidR="00232224" w:rsidRDefault="00232224">
      <w:pPr>
        <w:spacing w:line="360" w:lineRule="auto"/>
        <w:jc w:val="center"/>
        <w:rPr>
          <w:rFonts w:ascii="宋体" w:hAnsi="宋体" w:cs="Times New Roman"/>
          <w:sz w:val="28"/>
          <w:szCs w:val="28"/>
        </w:rPr>
      </w:pPr>
    </w:p>
    <w:p w14:paraId="048CAFAE" w14:textId="77777777" w:rsidR="00232224" w:rsidRDefault="00232224">
      <w:pPr>
        <w:spacing w:line="360" w:lineRule="auto"/>
        <w:jc w:val="center"/>
        <w:rPr>
          <w:rFonts w:ascii="宋体" w:hAnsi="宋体" w:cs="Times New Roman"/>
          <w:sz w:val="28"/>
          <w:szCs w:val="28"/>
        </w:rPr>
      </w:pPr>
    </w:p>
    <w:p w14:paraId="243C653A" w14:textId="77777777" w:rsidR="00232224" w:rsidRDefault="00232224">
      <w:pPr>
        <w:spacing w:line="360" w:lineRule="auto"/>
        <w:jc w:val="center"/>
        <w:rPr>
          <w:rFonts w:ascii="宋体" w:hAnsi="宋体" w:cs="Times New Roman"/>
          <w:sz w:val="28"/>
          <w:szCs w:val="28"/>
        </w:rPr>
      </w:pPr>
    </w:p>
    <w:p w14:paraId="3C0432B2" w14:textId="77777777" w:rsidR="00232224" w:rsidRDefault="00000000">
      <w:pPr>
        <w:spacing w:line="360" w:lineRule="auto"/>
        <w:jc w:val="center"/>
        <w:rPr>
          <w:rFonts w:ascii="宋体" w:hAnsi="宋体" w:cs="Times New Roman"/>
          <w:sz w:val="28"/>
          <w:szCs w:val="28"/>
        </w:rPr>
      </w:pPr>
      <w:r>
        <w:rPr>
          <w:rFonts w:ascii="宋体" w:hAnsi="宋体" w:cs="Times New Roman" w:hint="eastAsia"/>
          <w:sz w:val="28"/>
          <w:szCs w:val="28"/>
        </w:rPr>
        <w:t>基金管理人：海富通基金管理有限公司</w:t>
      </w:r>
    </w:p>
    <w:p w14:paraId="08199B3A" w14:textId="77777777" w:rsidR="00232224" w:rsidRDefault="00000000">
      <w:pPr>
        <w:spacing w:line="360" w:lineRule="auto"/>
        <w:jc w:val="center"/>
        <w:rPr>
          <w:rFonts w:ascii="宋体" w:hAnsi="宋体" w:cs="Times New Roman"/>
          <w:sz w:val="28"/>
          <w:szCs w:val="28"/>
        </w:rPr>
      </w:pPr>
      <w:r>
        <w:rPr>
          <w:rFonts w:ascii="宋体" w:hAnsi="宋体" w:cs="Times New Roman" w:hint="eastAsia"/>
          <w:sz w:val="28"/>
          <w:szCs w:val="28"/>
        </w:rPr>
        <w:t>基金托管人：国金证券股份有限公司</w:t>
      </w:r>
    </w:p>
    <w:p w14:paraId="5964BB43" w14:textId="77777777" w:rsidR="00232224" w:rsidRDefault="00232224">
      <w:pPr>
        <w:spacing w:line="360" w:lineRule="auto"/>
        <w:jc w:val="center"/>
        <w:rPr>
          <w:rFonts w:ascii="宋体" w:hAnsi="宋体" w:cs="Times New Roman"/>
          <w:sz w:val="28"/>
          <w:szCs w:val="28"/>
        </w:rPr>
      </w:pPr>
    </w:p>
    <w:p w14:paraId="0870E637" w14:textId="2019C676" w:rsidR="00232224" w:rsidRDefault="00000000">
      <w:pPr>
        <w:spacing w:line="360" w:lineRule="auto"/>
        <w:jc w:val="center"/>
        <w:rPr>
          <w:rFonts w:ascii="宋体" w:hAnsi="宋体" w:cs="Times New Roman"/>
          <w:sz w:val="28"/>
          <w:szCs w:val="28"/>
        </w:rPr>
      </w:pPr>
      <w:r>
        <w:rPr>
          <w:rFonts w:ascii="宋体" w:hAnsi="宋体" w:cs="Times New Roman" w:hint="eastAsia"/>
          <w:sz w:val="28"/>
          <w:szCs w:val="28"/>
        </w:rPr>
        <w:t>二零二三年</w:t>
      </w:r>
      <w:r w:rsidR="004F7977">
        <w:rPr>
          <w:rFonts w:ascii="宋体" w:hAnsi="宋体" w:cs="Times New Roman" w:hint="eastAsia"/>
          <w:sz w:val="28"/>
          <w:szCs w:val="28"/>
        </w:rPr>
        <w:t>十一</w:t>
      </w:r>
      <w:r>
        <w:rPr>
          <w:rFonts w:ascii="宋体" w:hAnsi="宋体" w:cs="Times New Roman" w:hint="eastAsia"/>
          <w:sz w:val="28"/>
          <w:szCs w:val="28"/>
        </w:rPr>
        <w:t>月</w:t>
      </w:r>
    </w:p>
    <w:p w14:paraId="69308373" w14:textId="77777777" w:rsidR="00232224" w:rsidRDefault="00232224">
      <w:pPr>
        <w:spacing w:line="360" w:lineRule="auto"/>
        <w:rPr>
          <w:rFonts w:ascii="宋体" w:hAnsi="宋体" w:cs="Times New Roman"/>
          <w:sz w:val="28"/>
          <w:szCs w:val="28"/>
        </w:rPr>
        <w:sectPr w:rsidR="00232224">
          <w:footerReference w:type="default" r:id="rId8"/>
          <w:pgSz w:w="11906" w:h="16838"/>
          <w:pgMar w:top="1440" w:right="1800" w:bottom="1440" w:left="1800" w:header="851" w:footer="992" w:gutter="0"/>
          <w:cols w:space="425"/>
          <w:titlePg/>
          <w:docGrid w:type="lines" w:linePitch="312"/>
        </w:sectPr>
      </w:pPr>
    </w:p>
    <w:p w14:paraId="052FC9FE" w14:textId="77777777" w:rsidR="00232224" w:rsidRDefault="00000000">
      <w:pPr>
        <w:spacing w:line="360" w:lineRule="auto"/>
        <w:jc w:val="center"/>
        <w:rPr>
          <w:rFonts w:ascii="Times New Roman" w:hAnsi="Times New Roman" w:cs="Times New Roman"/>
          <w:b/>
          <w:sz w:val="36"/>
        </w:rPr>
      </w:pPr>
      <w:r>
        <w:rPr>
          <w:rFonts w:ascii="Times New Roman" w:hAnsi="Times New Roman" w:cs="Times New Roman" w:hint="eastAsia"/>
          <w:b/>
          <w:sz w:val="36"/>
        </w:rPr>
        <w:lastRenderedPageBreak/>
        <w:t>目</w:t>
      </w:r>
      <w:r>
        <w:rPr>
          <w:rFonts w:ascii="Times New Roman" w:hAnsi="Times New Roman" w:cs="Times New Roman"/>
          <w:b/>
          <w:sz w:val="36"/>
        </w:rPr>
        <w:t xml:space="preserve">    </w:t>
      </w:r>
      <w:r>
        <w:rPr>
          <w:rFonts w:ascii="Times New Roman" w:hAnsi="Times New Roman" w:cs="Times New Roman" w:hint="eastAsia"/>
          <w:b/>
          <w:sz w:val="36"/>
        </w:rPr>
        <w:t>录</w:t>
      </w:r>
    </w:p>
    <w:p w14:paraId="1564C861" w14:textId="1F6FA371" w:rsidR="00232224" w:rsidRDefault="00000000">
      <w:pPr>
        <w:pStyle w:val="TOC1"/>
        <w:tabs>
          <w:tab w:val="right" w:leader="dot" w:pos="8296"/>
        </w:tabs>
        <w:spacing w:line="360" w:lineRule="auto"/>
        <w:rPr>
          <w:rFonts w:ascii="宋体" w:hAnsi="宋体" w:cs="Times New Roman"/>
          <w:noProof/>
          <w:kern w:val="2"/>
          <w:sz w:val="24"/>
          <w:szCs w:val="24"/>
        </w:rPr>
      </w:pPr>
      <w:r>
        <w:rPr>
          <w:rFonts w:ascii="宋体" w:hAnsi="宋体" w:cs="Times New Roman"/>
          <w:sz w:val="24"/>
          <w:szCs w:val="24"/>
        </w:rPr>
        <w:fldChar w:fldCharType="begin"/>
      </w:r>
      <w:r>
        <w:rPr>
          <w:rFonts w:ascii="宋体" w:hAnsi="宋体" w:cs="Times New Roman"/>
          <w:sz w:val="24"/>
          <w:szCs w:val="24"/>
        </w:rPr>
        <w:instrText xml:space="preserve"> TOC \o "1-3" \h \z \u </w:instrText>
      </w:r>
      <w:r>
        <w:rPr>
          <w:rFonts w:ascii="宋体" w:hAnsi="宋体" w:cs="Times New Roman"/>
          <w:b/>
          <w:bCs/>
          <w:sz w:val="24"/>
          <w:szCs w:val="24"/>
          <w:lang w:val="zh-CN"/>
        </w:rPr>
        <w:fldChar w:fldCharType="separate"/>
      </w:r>
      <w:hyperlink w:anchor="_Toc105597611" w:history="1">
        <w:r>
          <w:rPr>
            <w:rStyle w:val="af9"/>
            <w:rFonts w:ascii="宋体" w:hAnsi="宋体" w:cs="Times New Roman" w:hint="eastAsia"/>
            <w:noProof/>
            <w:sz w:val="24"/>
            <w:szCs w:val="24"/>
          </w:rPr>
          <w:t>一、基金托管协议当事人</w:t>
        </w:r>
        <w:r>
          <w:rPr>
            <w:rFonts w:ascii="宋体" w:hAnsi="宋体" w:cs="Times New Roman"/>
            <w:noProof/>
            <w:sz w:val="24"/>
            <w:szCs w:val="24"/>
          </w:rPr>
          <w:tab/>
        </w:r>
        <w:r>
          <w:rPr>
            <w:rFonts w:ascii="宋体" w:hAnsi="宋体" w:cs="Times New Roman"/>
            <w:noProof/>
            <w:sz w:val="24"/>
            <w:szCs w:val="24"/>
          </w:rPr>
          <w:fldChar w:fldCharType="begin"/>
        </w:r>
        <w:r>
          <w:rPr>
            <w:rFonts w:ascii="宋体" w:hAnsi="宋体" w:cs="Times New Roman"/>
            <w:noProof/>
            <w:sz w:val="24"/>
            <w:szCs w:val="24"/>
          </w:rPr>
          <w:instrText xml:space="preserve"> PAGEREF _Toc105597611 \h </w:instrText>
        </w:r>
        <w:r>
          <w:rPr>
            <w:rFonts w:ascii="宋体" w:hAnsi="宋体" w:cs="Times New Roman"/>
            <w:noProof/>
            <w:sz w:val="24"/>
            <w:szCs w:val="24"/>
          </w:rPr>
        </w:r>
        <w:r>
          <w:rPr>
            <w:rFonts w:ascii="宋体" w:hAnsi="宋体" w:cs="Times New Roman"/>
            <w:noProof/>
            <w:sz w:val="24"/>
            <w:szCs w:val="24"/>
          </w:rPr>
          <w:fldChar w:fldCharType="separate"/>
        </w:r>
        <w:r w:rsidR="0079157F">
          <w:rPr>
            <w:rFonts w:ascii="宋体" w:hAnsi="宋体" w:cs="Times New Roman"/>
            <w:noProof/>
            <w:sz w:val="24"/>
            <w:szCs w:val="24"/>
          </w:rPr>
          <w:t>3</w:t>
        </w:r>
        <w:r>
          <w:rPr>
            <w:rFonts w:ascii="宋体" w:hAnsi="宋体" w:cs="Times New Roman"/>
            <w:noProof/>
            <w:sz w:val="24"/>
            <w:szCs w:val="24"/>
          </w:rPr>
          <w:fldChar w:fldCharType="end"/>
        </w:r>
      </w:hyperlink>
    </w:p>
    <w:p w14:paraId="5667E011" w14:textId="18DDDABA" w:rsidR="00232224" w:rsidRDefault="00000000">
      <w:pPr>
        <w:pStyle w:val="TOC1"/>
        <w:tabs>
          <w:tab w:val="right" w:leader="dot" w:pos="8296"/>
        </w:tabs>
        <w:spacing w:line="360" w:lineRule="auto"/>
        <w:rPr>
          <w:rFonts w:ascii="宋体" w:hAnsi="宋体" w:cs="Times New Roman"/>
          <w:noProof/>
          <w:kern w:val="2"/>
          <w:sz w:val="24"/>
          <w:szCs w:val="24"/>
        </w:rPr>
      </w:pPr>
      <w:hyperlink w:anchor="_Toc105597612" w:history="1">
        <w:r>
          <w:rPr>
            <w:rStyle w:val="af9"/>
            <w:rFonts w:ascii="宋体" w:hAnsi="宋体" w:cs="Times New Roman" w:hint="eastAsia"/>
            <w:noProof/>
            <w:sz w:val="24"/>
            <w:szCs w:val="24"/>
          </w:rPr>
          <w:t>二、基金托管协议的依据、目的和原则</w:t>
        </w:r>
        <w:r>
          <w:rPr>
            <w:rFonts w:ascii="宋体" w:hAnsi="宋体" w:cs="Times New Roman"/>
            <w:noProof/>
            <w:sz w:val="24"/>
            <w:szCs w:val="24"/>
          </w:rPr>
          <w:tab/>
        </w:r>
        <w:r>
          <w:rPr>
            <w:rFonts w:ascii="宋体" w:hAnsi="宋体" w:cs="Times New Roman"/>
            <w:noProof/>
            <w:sz w:val="24"/>
            <w:szCs w:val="24"/>
          </w:rPr>
          <w:fldChar w:fldCharType="begin"/>
        </w:r>
        <w:r>
          <w:rPr>
            <w:rFonts w:ascii="宋体" w:hAnsi="宋体" w:cs="Times New Roman"/>
            <w:noProof/>
            <w:sz w:val="24"/>
            <w:szCs w:val="24"/>
          </w:rPr>
          <w:instrText xml:space="preserve"> PAGEREF _Toc105597612 \h </w:instrText>
        </w:r>
        <w:r>
          <w:rPr>
            <w:rFonts w:ascii="宋体" w:hAnsi="宋体" w:cs="Times New Roman"/>
            <w:noProof/>
            <w:sz w:val="24"/>
            <w:szCs w:val="24"/>
          </w:rPr>
        </w:r>
        <w:r>
          <w:rPr>
            <w:rFonts w:ascii="宋体" w:hAnsi="宋体" w:cs="Times New Roman"/>
            <w:noProof/>
            <w:sz w:val="24"/>
            <w:szCs w:val="24"/>
          </w:rPr>
          <w:fldChar w:fldCharType="separate"/>
        </w:r>
        <w:r w:rsidR="0079157F">
          <w:rPr>
            <w:rFonts w:ascii="宋体" w:hAnsi="宋体" w:cs="Times New Roman"/>
            <w:noProof/>
            <w:sz w:val="24"/>
            <w:szCs w:val="24"/>
          </w:rPr>
          <w:t>3</w:t>
        </w:r>
        <w:r>
          <w:rPr>
            <w:rFonts w:ascii="宋体" w:hAnsi="宋体" w:cs="Times New Roman"/>
            <w:noProof/>
            <w:sz w:val="24"/>
            <w:szCs w:val="24"/>
          </w:rPr>
          <w:fldChar w:fldCharType="end"/>
        </w:r>
      </w:hyperlink>
    </w:p>
    <w:p w14:paraId="6A0BDA2B" w14:textId="121CDFA6" w:rsidR="00232224" w:rsidRDefault="00000000">
      <w:pPr>
        <w:pStyle w:val="TOC1"/>
        <w:tabs>
          <w:tab w:val="right" w:leader="dot" w:pos="8296"/>
        </w:tabs>
        <w:spacing w:line="360" w:lineRule="auto"/>
        <w:rPr>
          <w:rFonts w:ascii="宋体" w:hAnsi="宋体" w:cs="Times New Roman"/>
          <w:noProof/>
          <w:kern w:val="2"/>
          <w:sz w:val="24"/>
          <w:szCs w:val="24"/>
        </w:rPr>
      </w:pPr>
      <w:hyperlink w:anchor="_Toc105597613" w:history="1">
        <w:r>
          <w:rPr>
            <w:rStyle w:val="af9"/>
            <w:rFonts w:ascii="宋体" w:hAnsi="宋体" w:cs="Times New Roman" w:hint="eastAsia"/>
            <w:noProof/>
            <w:sz w:val="24"/>
            <w:szCs w:val="24"/>
          </w:rPr>
          <w:t>三、基金托管人对基金管理人的业务监督和核查</w:t>
        </w:r>
        <w:r>
          <w:rPr>
            <w:rFonts w:ascii="宋体" w:hAnsi="宋体" w:cs="Times New Roman"/>
            <w:noProof/>
            <w:sz w:val="24"/>
            <w:szCs w:val="24"/>
          </w:rPr>
          <w:tab/>
        </w:r>
        <w:r>
          <w:rPr>
            <w:rFonts w:ascii="宋体" w:hAnsi="宋体" w:cs="Times New Roman"/>
            <w:noProof/>
            <w:sz w:val="24"/>
            <w:szCs w:val="24"/>
          </w:rPr>
          <w:fldChar w:fldCharType="begin"/>
        </w:r>
        <w:r>
          <w:rPr>
            <w:rFonts w:ascii="宋体" w:hAnsi="宋体" w:cs="Times New Roman"/>
            <w:noProof/>
            <w:sz w:val="24"/>
            <w:szCs w:val="24"/>
          </w:rPr>
          <w:instrText xml:space="preserve"> PAGEREF _Toc105597613 \h </w:instrText>
        </w:r>
        <w:r>
          <w:rPr>
            <w:rFonts w:ascii="宋体" w:hAnsi="宋体" w:cs="Times New Roman"/>
            <w:noProof/>
            <w:sz w:val="24"/>
            <w:szCs w:val="24"/>
          </w:rPr>
        </w:r>
        <w:r>
          <w:rPr>
            <w:rFonts w:ascii="宋体" w:hAnsi="宋体" w:cs="Times New Roman"/>
            <w:noProof/>
            <w:sz w:val="24"/>
            <w:szCs w:val="24"/>
          </w:rPr>
          <w:fldChar w:fldCharType="separate"/>
        </w:r>
        <w:r w:rsidR="0079157F">
          <w:rPr>
            <w:rFonts w:ascii="宋体" w:hAnsi="宋体" w:cs="Times New Roman"/>
            <w:noProof/>
            <w:sz w:val="24"/>
            <w:szCs w:val="24"/>
          </w:rPr>
          <w:t>4</w:t>
        </w:r>
        <w:r>
          <w:rPr>
            <w:rFonts w:ascii="宋体" w:hAnsi="宋体" w:cs="Times New Roman"/>
            <w:noProof/>
            <w:sz w:val="24"/>
            <w:szCs w:val="24"/>
          </w:rPr>
          <w:fldChar w:fldCharType="end"/>
        </w:r>
      </w:hyperlink>
    </w:p>
    <w:p w14:paraId="63BD9656" w14:textId="78BCA11E" w:rsidR="00232224" w:rsidRDefault="00000000">
      <w:pPr>
        <w:pStyle w:val="TOC1"/>
        <w:tabs>
          <w:tab w:val="right" w:leader="dot" w:pos="8296"/>
        </w:tabs>
        <w:spacing w:line="360" w:lineRule="auto"/>
        <w:rPr>
          <w:rFonts w:ascii="宋体" w:hAnsi="宋体" w:cs="Times New Roman"/>
          <w:noProof/>
          <w:kern w:val="2"/>
          <w:sz w:val="24"/>
          <w:szCs w:val="24"/>
        </w:rPr>
      </w:pPr>
      <w:hyperlink w:anchor="_Toc105597614" w:history="1">
        <w:r>
          <w:rPr>
            <w:rStyle w:val="af9"/>
            <w:rFonts w:ascii="宋体" w:hAnsi="宋体" w:cs="Times New Roman" w:hint="eastAsia"/>
            <w:noProof/>
            <w:sz w:val="24"/>
            <w:szCs w:val="24"/>
          </w:rPr>
          <w:t>四、基金管理人对基金托管人的业务核查</w:t>
        </w:r>
        <w:r>
          <w:rPr>
            <w:rFonts w:ascii="宋体" w:hAnsi="宋体" w:cs="Times New Roman"/>
            <w:noProof/>
            <w:sz w:val="24"/>
            <w:szCs w:val="24"/>
          </w:rPr>
          <w:tab/>
        </w:r>
        <w:r>
          <w:rPr>
            <w:rFonts w:ascii="宋体" w:hAnsi="宋体" w:cs="Times New Roman"/>
            <w:noProof/>
            <w:sz w:val="24"/>
            <w:szCs w:val="24"/>
          </w:rPr>
          <w:fldChar w:fldCharType="begin"/>
        </w:r>
        <w:r>
          <w:rPr>
            <w:rFonts w:ascii="宋体" w:hAnsi="宋体" w:cs="Times New Roman"/>
            <w:noProof/>
            <w:sz w:val="24"/>
            <w:szCs w:val="24"/>
          </w:rPr>
          <w:instrText xml:space="preserve"> PAGEREF _Toc105597614 \h </w:instrText>
        </w:r>
        <w:r>
          <w:rPr>
            <w:rFonts w:ascii="宋体" w:hAnsi="宋体" w:cs="Times New Roman"/>
            <w:noProof/>
            <w:sz w:val="24"/>
            <w:szCs w:val="24"/>
          </w:rPr>
        </w:r>
        <w:r>
          <w:rPr>
            <w:rFonts w:ascii="宋体" w:hAnsi="宋体" w:cs="Times New Roman"/>
            <w:noProof/>
            <w:sz w:val="24"/>
            <w:szCs w:val="24"/>
          </w:rPr>
          <w:fldChar w:fldCharType="separate"/>
        </w:r>
        <w:r w:rsidR="0079157F">
          <w:rPr>
            <w:rFonts w:ascii="宋体" w:hAnsi="宋体" w:cs="Times New Roman"/>
            <w:noProof/>
            <w:sz w:val="24"/>
            <w:szCs w:val="24"/>
          </w:rPr>
          <w:t>12</w:t>
        </w:r>
        <w:r>
          <w:rPr>
            <w:rFonts w:ascii="宋体" w:hAnsi="宋体" w:cs="Times New Roman"/>
            <w:noProof/>
            <w:sz w:val="24"/>
            <w:szCs w:val="24"/>
          </w:rPr>
          <w:fldChar w:fldCharType="end"/>
        </w:r>
      </w:hyperlink>
    </w:p>
    <w:p w14:paraId="7B3D3E99" w14:textId="777DF67A" w:rsidR="00232224" w:rsidRDefault="00000000">
      <w:pPr>
        <w:pStyle w:val="TOC1"/>
        <w:tabs>
          <w:tab w:val="right" w:leader="dot" w:pos="8296"/>
        </w:tabs>
        <w:spacing w:line="360" w:lineRule="auto"/>
        <w:rPr>
          <w:rFonts w:ascii="宋体" w:hAnsi="宋体" w:cs="Times New Roman"/>
          <w:noProof/>
          <w:kern w:val="2"/>
          <w:sz w:val="24"/>
          <w:szCs w:val="24"/>
        </w:rPr>
      </w:pPr>
      <w:hyperlink w:anchor="_Toc105597615" w:history="1">
        <w:r>
          <w:rPr>
            <w:rStyle w:val="af9"/>
            <w:rFonts w:ascii="宋体" w:hAnsi="宋体" w:cs="Times New Roman" w:hint="eastAsia"/>
            <w:noProof/>
            <w:sz w:val="24"/>
            <w:szCs w:val="24"/>
          </w:rPr>
          <w:t>五、基金财产的保管</w:t>
        </w:r>
        <w:r>
          <w:rPr>
            <w:rFonts w:ascii="宋体" w:hAnsi="宋体" w:cs="Times New Roman"/>
            <w:noProof/>
            <w:sz w:val="24"/>
            <w:szCs w:val="24"/>
          </w:rPr>
          <w:tab/>
        </w:r>
        <w:r>
          <w:rPr>
            <w:rFonts w:ascii="宋体" w:hAnsi="宋体" w:cs="Times New Roman"/>
            <w:noProof/>
            <w:sz w:val="24"/>
            <w:szCs w:val="24"/>
          </w:rPr>
          <w:fldChar w:fldCharType="begin"/>
        </w:r>
        <w:r>
          <w:rPr>
            <w:rFonts w:ascii="宋体" w:hAnsi="宋体" w:cs="Times New Roman"/>
            <w:noProof/>
            <w:sz w:val="24"/>
            <w:szCs w:val="24"/>
          </w:rPr>
          <w:instrText xml:space="preserve"> PAGEREF _Toc105597615 \h </w:instrText>
        </w:r>
        <w:r>
          <w:rPr>
            <w:rFonts w:ascii="宋体" w:hAnsi="宋体" w:cs="Times New Roman"/>
            <w:noProof/>
            <w:sz w:val="24"/>
            <w:szCs w:val="24"/>
          </w:rPr>
        </w:r>
        <w:r>
          <w:rPr>
            <w:rFonts w:ascii="宋体" w:hAnsi="宋体" w:cs="Times New Roman"/>
            <w:noProof/>
            <w:sz w:val="24"/>
            <w:szCs w:val="24"/>
          </w:rPr>
          <w:fldChar w:fldCharType="separate"/>
        </w:r>
        <w:r w:rsidR="0079157F">
          <w:rPr>
            <w:rFonts w:ascii="宋体" w:hAnsi="宋体" w:cs="Times New Roman"/>
            <w:noProof/>
            <w:sz w:val="24"/>
            <w:szCs w:val="24"/>
          </w:rPr>
          <w:t>13</w:t>
        </w:r>
        <w:r>
          <w:rPr>
            <w:rFonts w:ascii="宋体" w:hAnsi="宋体" w:cs="Times New Roman"/>
            <w:noProof/>
            <w:sz w:val="24"/>
            <w:szCs w:val="24"/>
          </w:rPr>
          <w:fldChar w:fldCharType="end"/>
        </w:r>
      </w:hyperlink>
    </w:p>
    <w:p w14:paraId="77978038" w14:textId="3665ACD1" w:rsidR="00232224" w:rsidRDefault="00000000">
      <w:pPr>
        <w:pStyle w:val="TOC1"/>
        <w:tabs>
          <w:tab w:val="right" w:leader="dot" w:pos="8296"/>
        </w:tabs>
        <w:spacing w:line="360" w:lineRule="auto"/>
        <w:rPr>
          <w:rFonts w:ascii="宋体" w:hAnsi="宋体" w:cs="Times New Roman"/>
          <w:noProof/>
          <w:kern w:val="2"/>
          <w:sz w:val="24"/>
          <w:szCs w:val="24"/>
        </w:rPr>
      </w:pPr>
      <w:hyperlink w:anchor="_Toc105597616" w:history="1">
        <w:r>
          <w:rPr>
            <w:rStyle w:val="af9"/>
            <w:rFonts w:ascii="宋体" w:hAnsi="宋体" w:cs="Times New Roman" w:hint="eastAsia"/>
            <w:noProof/>
            <w:sz w:val="24"/>
            <w:szCs w:val="24"/>
          </w:rPr>
          <w:t>六、指令的发送、确认和执行</w:t>
        </w:r>
        <w:r>
          <w:rPr>
            <w:rFonts w:ascii="宋体" w:hAnsi="宋体" w:cs="Times New Roman"/>
            <w:noProof/>
            <w:sz w:val="24"/>
            <w:szCs w:val="24"/>
          </w:rPr>
          <w:tab/>
        </w:r>
        <w:r>
          <w:rPr>
            <w:rFonts w:ascii="宋体" w:hAnsi="宋体" w:cs="Times New Roman"/>
            <w:noProof/>
            <w:sz w:val="24"/>
            <w:szCs w:val="24"/>
          </w:rPr>
          <w:fldChar w:fldCharType="begin"/>
        </w:r>
        <w:r>
          <w:rPr>
            <w:rFonts w:ascii="宋体" w:hAnsi="宋体" w:cs="Times New Roman"/>
            <w:noProof/>
            <w:sz w:val="24"/>
            <w:szCs w:val="24"/>
          </w:rPr>
          <w:instrText xml:space="preserve"> PAGEREF _Toc105597616 \h </w:instrText>
        </w:r>
        <w:r>
          <w:rPr>
            <w:rFonts w:ascii="宋体" w:hAnsi="宋体" w:cs="Times New Roman"/>
            <w:noProof/>
            <w:sz w:val="24"/>
            <w:szCs w:val="24"/>
          </w:rPr>
        </w:r>
        <w:r>
          <w:rPr>
            <w:rFonts w:ascii="宋体" w:hAnsi="宋体" w:cs="Times New Roman"/>
            <w:noProof/>
            <w:sz w:val="24"/>
            <w:szCs w:val="24"/>
          </w:rPr>
          <w:fldChar w:fldCharType="separate"/>
        </w:r>
        <w:r w:rsidR="0079157F">
          <w:rPr>
            <w:rFonts w:ascii="宋体" w:hAnsi="宋体" w:cs="Times New Roman"/>
            <w:noProof/>
            <w:sz w:val="24"/>
            <w:szCs w:val="24"/>
          </w:rPr>
          <w:t>16</w:t>
        </w:r>
        <w:r>
          <w:rPr>
            <w:rFonts w:ascii="宋体" w:hAnsi="宋体" w:cs="Times New Roman"/>
            <w:noProof/>
            <w:sz w:val="24"/>
            <w:szCs w:val="24"/>
          </w:rPr>
          <w:fldChar w:fldCharType="end"/>
        </w:r>
      </w:hyperlink>
    </w:p>
    <w:p w14:paraId="0A1EE24D" w14:textId="75A3A98F" w:rsidR="00232224" w:rsidRDefault="00000000">
      <w:pPr>
        <w:pStyle w:val="TOC1"/>
        <w:tabs>
          <w:tab w:val="right" w:leader="dot" w:pos="8296"/>
        </w:tabs>
        <w:spacing w:line="360" w:lineRule="auto"/>
        <w:rPr>
          <w:rFonts w:ascii="宋体" w:hAnsi="宋体" w:cs="Times New Roman"/>
          <w:noProof/>
          <w:kern w:val="2"/>
          <w:sz w:val="24"/>
          <w:szCs w:val="24"/>
        </w:rPr>
      </w:pPr>
      <w:hyperlink w:anchor="_Toc105597617" w:history="1">
        <w:r>
          <w:rPr>
            <w:rStyle w:val="af9"/>
            <w:rFonts w:ascii="宋体" w:hAnsi="宋体" w:cs="Times New Roman" w:hint="eastAsia"/>
            <w:noProof/>
            <w:sz w:val="24"/>
            <w:szCs w:val="24"/>
          </w:rPr>
          <w:t>七、交易及清算交收安排</w:t>
        </w:r>
        <w:r>
          <w:rPr>
            <w:rFonts w:ascii="宋体" w:hAnsi="宋体" w:cs="Times New Roman"/>
            <w:noProof/>
            <w:sz w:val="24"/>
            <w:szCs w:val="24"/>
          </w:rPr>
          <w:tab/>
        </w:r>
        <w:r>
          <w:rPr>
            <w:rFonts w:ascii="宋体" w:hAnsi="宋体" w:cs="Times New Roman"/>
            <w:noProof/>
            <w:sz w:val="24"/>
            <w:szCs w:val="24"/>
          </w:rPr>
          <w:fldChar w:fldCharType="begin"/>
        </w:r>
        <w:r>
          <w:rPr>
            <w:rFonts w:ascii="宋体" w:hAnsi="宋体" w:cs="Times New Roman"/>
            <w:noProof/>
            <w:sz w:val="24"/>
            <w:szCs w:val="24"/>
          </w:rPr>
          <w:instrText xml:space="preserve"> PAGEREF _Toc105597617 \h </w:instrText>
        </w:r>
        <w:r>
          <w:rPr>
            <w:rFonts w:ascii="宋体" w:hAnsi="宋体" w:cs="Times New Roman"/>
            <w:noProof/>
            <w:sz w:val="24"/>
            <w:szCs w:val="24"/>
          </w:rPr>
        </w:r>
        <w:r>
          <w:rPr>
            <w:rFonts w:ascii="宋体" w:hAnsi="宋体" w:cs="Times New Roman"/>
            <w:noProof/>
            <w:sz w:val="24"/>
            <w:szCs w:val="24"/>
          </w:rPr>
          <w:fldChar w:fldCharType="separate"/>
        </w:r>
        <w:r w:rsidR="0079157F">
          <w:rPr>
            <w:rFonts w:ascii="宋体" w:hAnsi="宋体" w:cs="Times New Roman"/>
            <w:noProof/>
            <w:sz w:val="24"/>
            <w:szCs w:val="24"/>
          </w:rPr>
          <w:t>20</w:t>
        </w:r>
        <w:r>
          <w:rPr>
            <w:rFonts w:ascii="宋体" w:hAnsi="宋体" w:cs="Times New Roman"/>
            <w:noProof/>
            <w:sz w:val="24"/>
            <w:szCs w:val="24"/>
          </w:rPr>
          <w:fldChar w:fldCharType="end"/>
        </w:r>
      </w:hyperlink>
    </w:p>
    <w:p w14:paraId="5DDC647C" w14:textId="22ACD8C6" w:rsidR="00232224" w:rsidRDefault="00000000">
      <w:pPr>
        <w:pStyle w:val="TOC1"/>
        <w:tabs>
          <w:tab w:val="right" w:leader="dot" w:pos="8296"/>
        </w:tabs>
        <w:spacing w:line="360" w:lineRule="auto"/>
        <w:rPr>
          <w:rFonts w:ascii="宋体" w:hAnsi="宋体" w:cs="Times New Roman"/>
          <w:noProof/>
          <w:kern w:val="2"/>
          <w:sz w:val="24"/>
          <w:szCs w:val="24"/>
        </w:rPr>
      </w:pPr>
      <w:hyperlink w:anchor="_Toc105597618" w:history="1">
        <w:r>
          <w:rPr>
            <w:rStyle w:val="af9"/>
            <w:rFonts w:ascii="宋体" w:hAnsi="宋体" w:cs="Times New Roman" w:hint="eastAsia"/>
            <w:noProof/>
            <w:sz w:val="24"/>
            <w:szCs w:val="24"/>
          </w:rPr>
          <w:t>八、基金资产净值计算和会计核算</w:t>
        </w:r>
        <w:r>
          <w:rPr>
            <w:rFonts w:ascii="宋体" w:hAnsi="宋体" w:cs="Times New Roman"/>
            <w:noProof/>
            <w:sz w:val="24"/>
            <w:szCs w:val="24"/>
          </w:rPr>
          <w:tab/>
        </w:r>
        <w:r>
          <w:rPr>
            <w:rFonts w:ascii="宋体" w:hAnsi="宋体" w:cs="Times New Roman"/>
            <w:noProof/>
            <w:sz w:val="24"/>
            <w:szCs w:val="24"/>
          </w:rPr>
          <w:fldChar w:fldCharType="begin"/>
        </w:r>
        <w:r>
          <w:rPr>
            <w:rFonts w:ascii="宋体" w:hAnsi="宋体" w:cs="Times New Roman"/>
            <w:noProof/>
            <w:sz w:val="24"/>
            <w:szCs w:val="24"/>
          </w:rPr>
          <w:instrText xml:space="preserve"> PAGEREF _Toc105597618 \h </w:instrText>
        </w:r>
        <w:r>
          <w:rPr>
            <w:rFonts w:ascii="宋体" w:hAnsi="宋体" w:cs="Times New Roman"/>
            <w:noProof/>
            <w:sz w:val="24"/>
            <w:szCs w:val="24"/>
          </w:rPr>
        </w:r>
        <w:r>
          <w:rPr>
            <w:rFonts w:ascii="宋体" w:hAnsi="宋体" w:cs="Times New Roman"/>
            <w:noProof/>
            <w:sz w:val="24"/>
            <w:szCs w:val="24"/>
          </w:rPr>
          <w:fldChar w:fldCharType="separate"/>
        </w:r>
        <w:r w:rsidR="0079157F">
          <w:rPr>
            <w:rFonts w:ascii="宋体" w:hAnsi="宋体" w:cs="Times New Roman"/>
            <w:noProof/>
            <w:sz w:val="24"/>
            <w:szCs w:val="24"/>
          </w:rPr>
          <w:t>23</w:t>
        </w:r>
        <w:r>
          <w:rPr>
            <w:rFonts w:ascii="宋体" w:hAnsi="宋体" w:cs="Times New Roman"/>
            <w:noProof/>
            <w:sz w:val="24"/>
            <w:szCs w:val="24"/>
          </w:rPr>
          <w:fldChar w:fldCharType="end"/>
        </w:r>
      </w:hyperlink>
    </w:p>
    <w:p w14:paraId="6B07D1F2" w14:textId="5C04E74A" w:rsidR="00232224" w:rsidRDefault="00000000">
      <w:pPr>
        <w:pStyle w:val="TOC1"/>
        <w:tabs>
          <w:tab w:val="right" w:leader="dot" w:pos="8296"/>
        </w:tabs>
        <w:spacing w:line="360" w:lineRule="auto"/>
        <w:rPr>
          <w:rFonts w:ascii="宋体" w:hAnsi="宋体" w:cs="Times New Roman"/>
          <w:noProof/>
          <w:kern w:val="2"/>
          <w:sz w:val="24"/>
          <w:szCs w:val="24"/>
        </w:rPr>
      </w:pPr>
      <w:hyperlink w:anchor="_Toc105597619" w:history="1">
        <w:r>
          <w:rPr>
            <w:rStyle w:val="af9"/>
            <w:rFonts w:ascii="宋体" w:hAnsi="宋体" w:cs="Times New Roman" w:hint="eastAsia"/>
            <w:noProof/>
            <w:sz w:val="24"/>
            <w:szCs w:val="24"/>
          </w:rPr>
          <w:t>九、基金收益分配</w:t>
        </w:r>
        <w:r>
          <w:rPr>
            <w:rFonts w:ascii="宋体" w:hAnsi="宋体" w:cs="Times New Roman"/>
            <w:noProof/>
            <w:sz w:val="24"/>
            <w:szCs w:val="24"/>
          </w:rPr>
          <w:tab/>
        </w:r>
        <w:r>
          <w:rPr>
            <w:rFonts w:ascii="宋体" w:hAnsi="宋体" w:cs="Times New Roman"/>
            <w:noProof/>
            <w:sz w:val="24"/>
            <w:szCs w:val="24"/>
          </w:rPr>
          <w:fldChar w:fldCharType="begin"/>
        </w:r>
        <w:r>
          <w:rPr>
            <w:rFonts w:ascii="宋体" w:hAnsi="宋体" w:cs="Times New Roman"/>
            <w:noProof/>
            <w:sz w:val="24"/>
            <w:szCs w:val="24"/>
          </w:rPr>
          <w:instrText xml:space="preserve"> PAGEREF _Toc105597619 \h </w:instrText>
        </w:r>
        <w:r>
          <w:rPr>
            <w:rFonts w:ascii="宋体" w:hAnsi="宋体" w:cs="Times New Roman"/>
            <w:noProof/>
            <w:sz w:val="24"/>
            <w:szCs w:val="24"/>
          </w:rPr>
        </w:r>
        <w:r>
          <w:rPr>
            <w:rFonts w:ascii="宋体" w:hAnsi="宋体" w:cs="Times New Roman"/>
            <w:noProof/>
            <w:sz w:val="24"/>
            <w:szCs w:val="24"/>
          </w:rPr>
          <w:fldChar w:fldCharType="separate"/>
        </w:r>
        <w:r w:rsidR="0079157F">
          <w:rPr>
            <w:rFonts w:ascii="宋体" w:hAnsi="宋体" w:cs="Times New Roman"/>
            <w:noProof/>
            <w:sz w:val="24"/>
            <w:szCs w:val="24"/>
          </w:rPr>
          <w:t>30</w:t>
        </w:r>
        <w:r>
          <w:rPr>
            <w:rFonts w:ascii="宋体" w:hAnsi="宋体" w:cs="Times New Roman"/>
            <w:noProof/>
            <w:sz w:val="24"/>
            <w:szCs w:val="24"/>
          </w:rPr>
          <w:fldChar w:fldCharType="end"/>
        </w:r>
      </w:hyperlink>
    </w:p>
    <w:p w14:paraId="260E1625" w14:textId="4329E709" w:rsidR="00232224" w:rsidRDefault="00000000">
      <w:pPr>
        <w:pStyle w:val="TOC1"/>
        <w:tabs>
          <w:tab w:val="right" w:leader="dot" w:pos="8296"/>
        </w:tabs>
        <w:spacing w:line="360" w:lineRule="auto"/>
        <w:rPr>
          <w:rFonts w:ascii="宋体" w:hAnsi="宋体" w:cs="Times New Roman"/>
          <w:noProof/>
          <w:kern w:val="2"/>
          <w:sz w:val="24"/>
          <w:szCs w:val="24"/>
        </w:rPr>
      </w:pPr>
      <w:hyperlink w:anchor="_Toc105597620" w:history="1">
        <w:r>
          <w:rPr>
            <w:rStyle w:val="af9"/>
            <w:rFonts w:ascii="宋体" w:hAnsi="宋体" w:cs="Times New Roman" w:hint="eastAsia"/>
            <w:noProof/>
            <w:sz w:val="24"/>
            <w:szCs w:val="24"/>
          </w:rPr>
          <w:t>十、基金信息披露</w:t>
        </w:r>
        <w:r>
          <w:rPr>
            <w:rFonts w:ascii="宋体" w:hAnsi="宋体" w:cs="Times New Roman"/>
            <w:noProof/>
            <w:sz w:val="24"/>
            <w:szCs w:val="24"/>
          </w:rPr>
          <w:tab/>
        </w:r>
        <w:r>
          <w:rPr>
            <w:rFonts w:ascii="宋体" w:hAnsi="宋体" w:cs="Times New Roman"/>
            <w:noProof/>
            <w:sz w:val="24"/>
            <w:szCs w:val="24"/>
          </w:rPr>
          <w:fldChar w:fldCharType="begin"/>
        </w:r>
        <w:r>
          <w:rPr>
            <w:rFonts w:ascii="宋体" w:hAnsi="宋体" w:cs="Times New Roman"/>
            <w:noProof/>
            <w:sz w:val="24"/>
            <w:szCs w:val="24"/>
          </w:rPr>
          <w:instrText xml:space="preserve"> PAGEREF _Toc105597620 \h </w:instrText>
        </w:r>
        <w:r>
          <w:rPr>
            <w:rFonts w:ascii="宋体" w:hAnsi="宋体" w:cs="Times New Roman"/>
            <w:noProof/>
            <w:sz w:val="24"/>
            <w:szCs w:val="24"/>
          </w:rPr>
        </w:r>
        <w:r>
          <w:rPr>
            <w:rFonts w:ascii="宋体" w:hAnsi="宋体" w:cs="Times New Roman"/>
            <w:noProof/>
            <w:sz w:val="24"/>
            <w:szCs w:val="24"/>
          </w:rPr>
          <w:fldChar w:fldCharType="separate"/>
        </w:r>
        <w:r w:rsidR="0079157F">
          <w:rPr>
            <w:rFonts w:ascii="宋体" w:hAnsi="宋体" w:cs="Times New Roman"/>
            <w:noProof/>
            <w:sz w:val="24"/>
            <w:szCs w:val="24"/>
          </w:rPr>
          <w:t>31</w:t>
        </w:r>
        <w:r>
          <w:rPr>
            <w:rFonts w:ascii="宋体" w:hAnsi="宋体" w:cs="Times New Roman"/>
            <w:noProof/>
            <w:sz w:val="24"/>
            <w:szCs w:val="24"/>
          </w:rPr>
          <w:fldChar w:fldCharType="end"/>
        </w:r>
      </w:hyperlink>
    </w:p>
    <w:p w14:paraId="05744C35" w14:textId="3991265A" w:rsidR="00232224" w:rsidRDefault="00000000">
      <w:pPr>
        <w:pStyle w:val="TOC1"/>
        <w:tabs>
          <w:tab w:val="right" w:leader="dot" w:pos="8296"/>
        </w:tabs>
        <w:spacing w:line="360" w:lineRule="auto"/>
        <w:rPr>
          <w:rFonts w:ascii="宋体" w:hAnsi="宋体" w:cs="Times New Roman"/>
          <w:noProof/>
          <w:kern w:val="2"/>
          <w:sz w:val="24"/>
          <w:szCs w:val="24"/>
        </w:rPr>
      </w:pPr>
      <w:hyperlink w:anchor="_Toc105597621" w:history="1">
        <w:r>
          <w:rPr>
            <w:rStyle w:val="af9"/>
            <w:rFonts w:ascii="宋体" w:hAnsi="宋体" w:cs="Times New Roman" w:hint="eastAsia"/>
            <w:noProof/>
            <w:sz w:val="24"/>
            <w:szCs w:val="24"/>
          </w:rPr>
          <w:t>十一、基金费用</w:t>
        </w:r>
        <w:r>
          <w:rPr>
            <w:rFonts w:ascii="宋体" w:hAnsi="宋体" w:cs="Times New Roman"/>
            <w:noProof/>
            <w:sz w:val="24"/>
            <w:szCs w:val="24"/>
          </w:rPr>
          <w:tab/>
        </w:r>
        <w:r>
          <w:rPr>
            <w:rFonts w:ascii="宋体" w:hAnsi="宋体" w:cs="Times New Roman"/>
            <w:noProof/>
            <w:sz w:val="24"/>
            <w:szCs w:val="24"/>
          </w:rPr>
          <w:fldChar w:fldCharType="begin"/>
        </w:r>
        <w:r>
          <w:rPr>
            <w:rFonts w:ascii="宋体" w:hAnsi="宋体" w:cs="Times New Roman"/>
            <w:noProof/>
            <w:sz w:val="24"/>
            <w:szCs w:val="24"/>
          </w:rPr>
          <w:instrText xml:space="preserve"> PAGEREF _Toc105597621 \h </w:instrText>
        </w:r>
        <w:r>
          <w:rPr>
            <w:rFonts w:ascii="宋体" w:hAnsi="宋体" w:cs="Times New Roman"/>
            <w:noProof/>
            <w:sz w:val="24"/>
            <w:szCs w:val="24"/>
          </w:rPr>
        </w:r>
        <w:r>
          <w:rPr>
            <w:rFonts w:ascii="宋体" w:hAnsi="宋体" w:cs="Times New Roman"/>
            <w:noProof/>
            <w:sz w:val="24"/>
            <w:szCs w:val="24"/>
          </w:rPr>
          <w:fldChar w:fldCharType="separate"/>
        </w:r>
        <w:r w:rsidR="0079157F">
          <w:rPr>
            <w:rFonts w:ascii="宋体" w:hAnsi="宋体" w:cs="Times New Roman"/>
            <w:noProof/>
            <w:sz w:val="24"/>
            <w:szCs w:val="24"/>
          </w:rPr>
          <w:t>32</w:t>
        </w:r>
        <w:r>
          <w:rPr>
            <w:rFonts w:ascii="宋体" w:hAnsi="宋体" w:cs="Times New Roman"/>
            <w:noProof/>
            <w:sz w:val="24"/>
            <w:szCs w:val="24"/>
          </w:rPr>
          <w:fldChar w:fldCharType="end"/>
        </w:r>
      </w:hyperlink>
    </w:p>
    <w:p w14:paraId="599C3AA9" w14:textId="10791B9F" w:rsidR="00232224" w:rsidRDefault="00000000">
      <w:pPr>
        <w:pStyle w:val="TOC1"/>
        <w:tabs>
          <w:tab w:val="right" w:leader="dot" w:pos="8296"/>
        </w:tabs>
        <w:spacing w:line="360" w:lineRule="auto"/>
        <w:rPr>
          <w:rFonts w:ascii="宋体" w:hAnsi="宋体" w:cs="Times New Roman"/>
          <w:noProof/>
          <w:kern w:val="2"/>
          <w:sz w:val="24"/>
          <w:szCs w:val="24"/>
        </w:rPr>
      </w:pPr>
      <w:hyperlink w:anchor="_Toc105597622" w:history="1">
        <w:r>
          <w:rPr>
            <w:rStyle w:val="af9"/>
            <w:rFonts w:ascii="宋体" w:hAnsi="宋体" w:cs="Times New Roman" w:hint="eastAsia"/>
            <w:noProof/>
            <w:sz w:val="24"/>
            <w:szCs w:val="24"/>
          </w:rPr>
          <w:t>十二、基金份额持有人名册的保管</w:t>
        </w:r>
        <w:r>
          <w:rPr>
            <w:rFonts w:ascii="宋体" w:hAnsi="宋体" w:cs="Times New Roman"/>
            <w:noProof/>
            <w:sz w:val="24"/>
            <w:szCs w:val="24"/>
          </w:rPr>
          <w:tab/>
        </w:r>
        <w:r>
          <w:rPr>
            <w:rFonts w:ascii="宋体" w:hAnsi="宋体" w:cs="Times New Roman"/>
            <w:noProof/>
            <w:sz w:val="24"/>
            <w:szCs w:val="24"/>
          </w:rPr>
          <w:fldChar w:fldCharType="begin"/>
        </w:r>
        <w:r>
          <w:rPr>
            <w:rFonts w:ascii="宋体" w:hAnsi="宋体" w:cs="Times New Roman"/>
            <w:noProof/>
            <w:sz w:val="24"/>
            <w:szCs w:val="24"/>
          </w:rPr>
          <w:instrText xml:space="preserve"> PAGEREF _Toc105597622 \h </w:instrText>
        </w:r>
        <w:r>
          <w:rPr>
            <w:rFonts w:ascii="宋体" w:hAnsi="宋体" w:cs="Times New Roman"/>
            <w:noProof/>
            <w:sz w:val="24"/>
            <w:szCs w:val="24"/>
          </w:rPr>
        </w:r>
        <w:r>
          <w:rPr>
            <w:rFonts w:ascii="宋体" w:hAnsi="宋体" w:cs="Times New Roman"/>
            <w:noProof/>
            <w:sz w:val="24"/>
            <w:szCs w:val="24"/>
          </w:rPr>
          <w:fldChar w:fldCharType="separate"/>
        </w:r>
        <w:r w:rsidR="0079157F">
          <w:rPr>
            <w:rFonts w:ascii="宋体" w:hAnsi="宋体" w:cs="Times New Roman"/>
            <w:noProof/>
            <w:sz w:val="24"/>
            <w:szCs w:val="24"/>
          </w:rPr>
          <w:t>34</w:t>
        </w:r>
        <w:r>
          <w:rPr>
            <w:rFonts w:ascii="宋体" w:hAnsi="宋体" w:cs="Times New Roman"/>
            <w:noProof/>
            <w:sz w:val="24"/>
            <w:szCs w:val="24"/>
          </w:rPr>
          <w:fldChar w:fldCharType="end"/>
        </w:r>
      </w:hyperlink>
    </w:p>
    <w:p w14:paraId="59834214" w14:textId="11255CD6" w:rsidR="00232224" w:rsidRDefault="00000000">
      <w:pPr>
        <w:pStyle w:val="TOC1"/>
        <w:tabs>
          <w:tab w:val="right" w:leader="dot" w:pos="8296"/>
        </w:tabs>
        <w:spacing w:line="360" w:lineRule="auto"/>
        <w:rPr>
          <w:rFonts w:ascii="宋体" w:hAnsi="宋体" w:cs="Times New Roman"/>
          <w:noProof/>
          <w:kern w:val="2"/>
          <w:sz w:val="24"/>
          <w:szCs w:val="24"/>
        </w:rPr>
      </w:pPr>
      <w:hyperlink w:anchor="_Toc105597623" w:history="1">
        <w:r>
          <w:rPr>
            <w:rStyle w:val="af9"/>
            <w:rFonts w:ascii="宋体" w:hAnsi="宋体" w:cs="Times New Roman" w:hint="eastAsia"/>
            <w:noProof/>
            <w:sz w:val="24"/>
            <w:szCs w:val="24"/>
          </w:rPr>
          <w:t>十三、基金有关文件档案的保存</w:t>
        </w:r>
        <w:r>
          <w:rPr>
            <w:rFonts w:ascii="宋体" w:hAnsi="宋体" w:cs="Times New Roman"/>
            <w:noProof/>
            <w:sz w:val="24"/>
            <w:szCs w:val="24"/>
          </w:rPr>
          <w:tab/>
        </w:r>
        <w:r>
          <w:rPr>
            <w:rFonts w:ascii="宋体" w:hAnsi="宋体" w:cs="Times New Roman"/>
            <w:noProof/>
            <w:sz w:val="24"/>
            <w:szCs w:val="24"/>
          </w:rPr>
          <w:fldChar w:fldCharType="begin"/>
        </w:r>
        <w:r>
          <w:rPr>
            <w:rFonts w:ascii="宋体" w:hAnsi="宋体" w:cs="Times New Roman"/>
            <w:noProof/>
            <w:sz w:val="24"/>
            <w:szCs w:val="24"/>
          </w:rPr>
          <w:instrText xml:space="preserve"> PAGEREF _Toc105597623 \h </w:instrText>
        </w:r>
        <w:r>
          <w:rPr>
            <w:rFonts w:ascii="宋体" w:hAnsi="宋体" w:cs="Times New Roman"/>
            <w:noProof/>
            <w:sz w:val="24"/>
            <w:szCs w:val="24"/>
          </w:rPr>
        </w:r>
        <w:r>
          <w:rPr>
            <w:rFonts w:ascii="宋体" w:hAnsi="宋体" w:cs="Times New Roman"/>
            <w:noProof/>
            <w:sz w:val="24"/>
            <w:szCs w:val="24"/>
          </w:rPr>
          <w:fldChar w:fldCharType="separate"/>
        </w:r>
        <w:r w:rsidR="0079157F">
          <w:rPr>
            <w:rFonts w:ascii="宋体" w:hAnsi="宋体" w:cs="Times New Roman"/>
            <w:noProof/>
            <w:sz w:val="24"/>
            <w:szCs w:val="24"/>
          </w:rPr>
          <w:t>34</w:t>
        </w:r>
        <w:r>
          <w:rPr>
            <w:rFonts w:ascii="宋体" w:hAnsi="宋体" w:cs="Times New Roman"/>
            <w:noProof/>
            <w:sz w:val="24"/>
            <w:szCs w:val="24"/>
          </w:rPr>
          <w:fldChar w:fldCharType="end"/>
        </w:r>
      </w:hyperlink>
    </w:p>
    <w:p w14:paraId="1B8AED8F" w14:textId="61672873" w:rsidR="00232224" w:rsidRDefault="00000000">
      <w:pPr>
        <w:pStyle w:val="TOC1"/>
        <w:tabs>
          <w:tab w:val="right" w:leader="dot" w:pos="8296"/>
        </w:tabs>
        <w:spacing w:line="360" w:lineRule="auto"/>
        <w:rPr>
          <w:rFonts w:ascii="宋体" w:hAnsi="宋体" w:cs="Times New Roman"/>
          <w:noProof/>
          <w:kern w:val="2"/>
          <w:sz w:val="24"/>
          <w:szCs w:val="24"/>
        </w:rPr>
      </w:pPr>
      <w:hyperlink w:anchor="_Toc105597624" w:history="1">
        <w:r>
          <w:rPr>
            <w:rStyle w:val="af9"/>
            <w:rFonts w:ascii="宋体" w:hAnsi="宋体" w:cs="Times New Roman" w:hint="eastAsia"/>
            <w:noProof/>
            <w:sz w:val="24"/>
            <w:szCs w:val="24"/>
          </w:rPr>
          <w:t>十四、基金管理人和基金托管人的更换</w:t>
        </w:r>
        <w:r>
          <w:rPr>
            <w:rFonts w:ascii="宋体" w:hAnsi="宋体" w:cs="Times New Roman"/>
            <w:noProof/>
            <w:sz w:val="24"/>
            <w:szCs w:val="24"/>
          </w:rPr>
          <w:tab/>
        </w:r>
        <w:r>
          <w:rPr>
            <w:rFonts w:ascii="宋体" w:hAnsi="宋体" w:cs="Times New Roman"/>
            <w:noProof/>
            <w:sz w:val="24"/>
            <w:szCs w:val="24"/>
          </w:rPr>
          <w:fldChar w:fldCharType="begin"/>
        </w:r>
        <w:r>
          <w:rPr>
            <w:rFonts w:ascii="宋体" w:hAnsi="宋体" w:cs="Times New Roman"/>
            <w:noProof/>
            <w:sz w:val="24"/>
            <w:szCs w:val="24"/>
          </w:rPr>
          <w:instrText xml:space="preserve"> PAGEREF _Toc105597624 \h </w:instrText>
        </w:r>
        <w:r>
          <w:rPr>
            <w:rFonts w:ascii="宋体" w:hAnsi="宋体" w:cs="Times New Roman"/>
            <w:noProof/>
            <w:sz w:val="24"/>
            <w:szCs w:val="24"/>
          </w:rPr>
        </w:r>
        <w:r>
          <w:rPr>
            <w:rFonts w:ascii="宋体" w:hAnsi="宋体" w:cs="Times New Roman"/>
            <w:noProof/>
            <w:sz w:val="24"/>
            <w:szCs w:val="24"/>
          </w:rPr>
          <w:fldChar w:fldCharType="separate"/>
        </w:r>
        <w:r w:rsidR="0079157F">
          <w:rPr>
            <w:rFonts w:ascii="宋体" w:hAnsi="宋体" w:cs="Times New Roman"/>
            <w:noProof/>
            <w:sz w:val="24"/>
            <w:szCs w:val="24"/>
          </w:rPr>
          <w:t>34</w:t>
        </w:r>
        <w:r>
          <w:rPr>
            <w:rFonts w:ascii="宋体" w:hAnsi="宋体" w:cs="Times New Roman"/>
            <w:noProof/>
            <w:sz w:val="24"/>
            <w:szCs w:val="24"/>
          </w:rPr>
          <w:fldChar w:fldCharType="end"/>
        </w:r>
      </w:hyperlink>
    </w:p>
    <w:p w14:paraId="3BC836D4" w14:textId="4D87B225" w:rsidR="00232224" w:rsidRDefault="00000000">
      <w:pPr>
        <w:pStyle w:val="TOC1"/>
        <w:tabs>
          <w:tab w:val="right" w:leader="dot" w:pos="8296"/>
        </w:tabs>
        <w:spacing w:line="360" w:lineRule="auto"/>
        <w:rPr>
          <w:rFonts w:ascii="宋体" w:hAnsi="宋体" w:cs="Times New Roman"/>
          <w:noProof/>
          <w:kern w:val="2"/>
          <w:sz w:val="24"/>
          <w:szCs w:val="24"/>
        </w:rPr>
      </w:pPr>
      <w:hyperlink w:anchor="_Toc105597625" w:history="1">
        <w:r>
          <w:rPr>
            <w:rStyle w:val="af9"/>
            <w:rFonts w:ascii="宋体" w:hAnsi="宋体" w:cs="Times New Roman" w:hint="eastAsia"/>
            <w:noProof/>
            <w:sz w:val="24"/>
            <w:szCs w:val="24"/>
          </w:rPr>
          <w:t>十五、禁止行为</w:t>
        </w:r>
        <w:r>
          <w:rPr>
            <w:rFonts w:ascii="宋体" w:hAnsi="宋体" w:cs="Times New Roman"/>
            <w:noProof/>
            <w:sz w:val="24"/>
            <w:szCs w:val="24"/>
          </w:rPr>
          <w:tab/>
        </w:r>
        <w:r>
          <w:rPr>
            <w:rFonts w:ascii="宋体" w:hAnsi="宋体" w:cs="Times New Roman"/>
            <w:noProof/>
            <w:sz w:val="24"/>
            <w:szCs w:val="24"/>
          </w:rPr>
          <w:fldChar w:fldCharType="begin"/>
        </w:r>
        <w:r>
          <w:rPr>
            <w:rFonts w:ascii="宋体" w:hAnsi="宋体" w:cs="Times New Roman"/>
            <w:noProof/>
            <w:sz w:val="24"/>
            <w:szCs w:val="24"/>
          </w:rPr>
          <w:instrText xml:space="preserve"> PAGEREF _Toc105597625 \h </w:instrText>
        </w:r>
        <w:r>
          <w:rPr>
            <w:rFonts w:ascii="宋体" w:hAnsi="宋体" w:cs="Times New Roman"/>
            <w:noProof/>
            <w:sz w:val="24"/>
            <w:szCs w:val="24"/>
          </w:rPr>
        </w:r>
        <w:r>
          <w:rPr>
            <w:rFonts w:ascii="宋体" w:hAnsi="宋体" w:cs="Times New Roman"/>
            <w:noProof/>
            <w:sz w:val="24"/>
            <w:szCs w:val="24"/>
          </w:rPr>
          <w:fldChar w:fldCharType="separate"/>
        </w:r>
        <w:r w:rsidR="0079157F">
          <w:rPr>
            <w:rFonts w:ascii="宋体" w:hAnsi="宋体" w:cs="Times New Roman"/>
            <w:noProof/>
            <w:sz w:val="24"/>
            <w:szCs w:val="24"/>
          </w:rPr>
          <w:t>35</w:t>
        </w:r>
        <w:r>
          <w:rPr>
            <w:rFonts w:ascii="宋体" w:hAnsi="宋体" w:cs="Times New Roman"/>
            <w:noProof/>
            <w:sz w:val="24"/>
            <w:szCs w:val="24"/>
          </w:rPr>
          <w:fldChar w:fldCharType="end"/>
        </w:r>
      </w:hyperlink>
    </w:p>
    <w:p w14:paraId="0AEC3F7B" w14:textId="69CA24A2" w:rsidR="00232224" w:rsidRDefault="00000000">
      <w:pPr>
        <w:pStyle w:val="TOC1"/>
        <w:tabs>
          <w:tab w:val="right" w:leader="dot" w:pos="8296"/>
        </w:tabs>
        <w:spacing w:line="360" w:lineRule="auto"/>
        <w:rPr>
          <w:rFonts w:ascii="宋体" w:hAnsi="宋体" w:cs="Times New Roman"/>
          <w:noProof/>
          <w:kern w:val="2"/>
          <w:sz w:val="24"/>
          <w:szCs w:val="24"/>
        </w:rPr>
      </w:pPr>
      <w:hyperlink w:anchor="_Toc105597626" w:history="1">
        <w:r>
          <w:rPr>
            <w:rStyle w:val="af9"/>
            <w:rFonts w:ascii="宋体" w:hAnsi="宋体" w:cs="Times New Roman" w:hint="eastAsia"/>
            <w:noProof/>
            <w:sz w:val="24"/>
            <w:szCs w:val="24"/>
          </w:rPr>
          <w:t>十六、基金托管协议的变更、终止与基金财产的清算</w:t>
        </w:r>
        <w:r>
          <w:rPr>
            <w:rFonts w:ascii="宋体" w:hAnsi="宋体" w:cs="Times New Roman"/>
            <w:noProof/>
            <w:sz w:val="24"/>
            <w:szCs w:val="24"/>
          </w:rPr>
          <w:tab/>
        </w:r>
        <w:r>
          <w:rPr>
            <w:rFonts w:ascii="宋体" w:hAnsi="宋体" w:cs="Times New Roman"/>
            <w:noProof/>
            <w:sz w:val="24"/>
            <w:szCs w:val="24"/>
          </w:rPr>
          <w:fldChar w:fldCharType="begin"/>
        </w:r>
        <w:r>
          <w:rPr>
            <w:rFonts w:ascii="宋体" w:hAnsi="宋体" w:cs="Times New Roman"/>
            <w:noProof/>
            <w:sz w:val="24"/>
            <w:szCs w:val="24"/>
          </w:rPr>
          <w:instrText xml:space="preserve"> PAGEREF _Toc105597626 \h </w:instrText>
        </w:r>
        <w:r>
          <w:rPr>
            <w:rFonts w:ascii="宋体" w:hAnsi="宋体" w:cs="Times New Roman"/>
            <w:noProof/>
            <w:sz w:val="24"/>
            <w:szCs w:val="24"/>
          </w:rPr>
        </w:r>
        <w:r>
          <w:rPr>
            <w:rFonts w:ascii="宋体" w:hAnsi="宋体" w:cs="Times New Roman"/>
            <w:noProof/>
            <w:sz w:val="24"/>
            <w:szCs w:val="24"/>
          </w:rPr>
          <w:fldChar w:fldCharType="separate"/>
        </w:r>
        <w:r w:rsidR="0079157F">
          <w:rPr>
            <w:rFonts w:ascii="宋体" w:hAnsi="宋体" w:cs="Times New Roman"/>
            <w:noProof/>
            <w:sz w:val="24"/>
            <w:szCs w:val="24"/>
          </w:rPr>
          <w:t>36</w:t>
        </w:r>
        <w:r>
          <w:rPr>
            <w:rFonts w:ascii="宋体" w:hAnsi="宋体" w:cs="Times New Roman"/>
            <w:noProof/>
            <w:sz w:val="24"/>
            <w:szCs w:val="24"/>
          </w:rPr>
          <w:fldChar w:fldCharType="end"/>
        </w:r>
      </w:hyperlink>
    </w:p>
    <w:p w14:paraId="244C0AB5" w14:textId="0AEC49F9" w:rsidR="00232224" w:rsidRDefault="00000000">
      <w:pPr>
        <w:pStyle w:val="TOC1"/>
        <w:tabs>
          <w:tab w:val="right" w:leader="dot" w:pos="8296"/>
        </w:tabs>
        <w:spacing w:line="360" w:lineRule="auto"/>
        <w:rPr>
          <w:rFonts w:ascii="宋体" w:hAnsi="宋体" w:cs="Times New Roman"/>
          <w:noProof/>
          <w:kern w:val="2"/>
          <w:sz w:val="24"/>
          <w:szCs w:val="24"/>
        </w:rPr>
      </w:pPr>
      <w:hyperlink w:anchor="_Toc105597627" w:history="1">
        <w:r>
          <w:rPr>
            <w:rStyle w:val="af9"/>
            <w:rFonts w:ascii="宋体" w:hAnsi="宋体" w:cs="Times New Roman" w:hint="eastAsia"/>
            <w:noProof/>
            <w:sz w:val="24"/>
            <w:szCs w:val="24"/>
          </w:rPr>
          <w:t>十七、违约责任</w:t>
        </w:r>
        <w:r>
          <w:rPr>
            <w:rFonts w:ascii="宋体" w:hAnsi="宋体" w:cs="Times New Roman"/>
            <w:noProof/>
            <w:sz w:val="24"/>
            <w:szCs w:val="24"/>
          </w:rPr>
          <w:tab/>
        </w:r>
        <w:r>
          <w:rPr>
            <w:rFonts w:ascii="宋体" w:hAnsi="宋体" w:cs="Times New Roman"/>
            <w:noProof/>
            <w:sz w:val="24"/>
            <w:szCs w:val="24"/>
          </w:rPr>
          <w:fldChar w:fldCharType="begin"/>
        </w:r>
        <w:r>
          <w:rPr>
            <w:rFonts w:ascii="宋体" w:hAnsi="宋体" w:cs="Times New Roman"/>
            <w:noProof/>
            <w:sz w:val="24"/>
            <w:szCs w:val="24"/>
          </w:rPr>
          <w:instrText xml:space="preserve"> PAGEREF _Toc105597627 \h </w:instrText>
        </w:r>
        <w:r>
          <w:rPr>
            <w:rFonts w:ascii="宋体" w:hAnsi="宋体" w:cs="Times New Roman"/>
            <w:noProof/>
            <w:sz w:val="24"/>
            <w:szCs w:val="24"/>
          </w:rPr>
        </w:r>
        <w:r>
          <w:rPr>
            <w:rFonts w:ascii="宋体" w:hAnsi="宋体" w:cs="Times New Roman"/>
            <w:noProof/>
            <w:sz w:val="24"/>
            <w:szCs w:val="24"/>
          </w:rPr>
          <w:fldChar w:fldCharType="separate"/>
        </w:r>
        <w:r w:rsidR="0079157F">
          <w:rPr>
            <w:rFonts w:ascii="宋体" w:hAnsi="宋体" w:cs="Times New Roman"/>
            <w:noProof/>
            <w:sz w:val="24"/>
            <w:szCs w:val="24"/>
          </w:rPr>
          <w:t>37</w:t>
        </w:r>
        <w:r>
          <w:rPr>
            <w:rFonts w:ascii="宋体" w:hAnsi="宋体" w:cs="Times New Roman"/>
            <w:noProof/>
            <w:sz w:val="24"/>
            <w:szCs w:val="24"/>
          </w:rPr>
          <w:fldChar w:fldCharType="end"/>
        </w:r>
      </w:hyperlink>
    </w:p>
    <w:p w14:paraId="14437E00" w14:textId="25DE973F" w:rsidR="00232224" w:rsidRDefault="00000000">
      <w:pPr>
        <w:pStyle w:val="TOC1"/>
        <w:tabs>
          <w:tab w:val="right" w:leader="dot" w:pos="8296"/>
        </w:tabs>
        <w:spacing w:line="360" w:lineRule="auto"/>
        <w:rPr>
          <w:rFonts w:ascii="宋体" w:hAnsi="宋体" w:cs="Times New Roman"/>
          <w:noProof/>
          <w:kern w:val="2"/>
          <w:sz w:val="24"/>
          <w:szCs w:val="24"/>
        </w:rPr>
      </w:pPr>
      <w:hyperlink w:anchor="_Toc105597628" w:history="1">
        <w:r>
          <w:rPr>
            <w:rStyle w:val="af9"/>
            <w:rFonts w:ascii="宋体" w:hAnsi="宋体" w:cs="Times New Roman" w:hint="eastAsia"/>
            <w:noProof/>
            <w:sz w:val="24"/>
            <w:szCs w:val="24"/>
          </w:rPr>
          <w:t>十八、争议解决方式</w:t>
        </w:r>
        <w:r>
          <w:rPr>
            <w:rFonts w:ascii="宋体" w:hAnsi="宋体" w:cs="Times New Roman"/>
            <w:noProof/>
            <w:sz w:val="24"/>
            <w:szCs w:val="24"/>
          </w:rPr>
          <w:tab/>
        </w:r>
        <w:r>
          <w:rPr>
            <w:rFonts w:ascii="宋体" w:hAnsi="宋体" w:cs="Times New Roman"/>
            <w:noProof/>
            <w:sz w:val="24"/>
            <w:szCs w:val="24"/>
          </w:rPr>
          <w:fldChar w:fldCharType="begin"/>
        </w:r>
        <w:r>
          <w:rPr>
            <w:rFonts w:ascii="宋体" w:hAnsi="宋体" w:cs="Times New Roman"/>
            <w:noProof/>
            <w:sz w:val="24"/>
            <w:szCs w:val="24"/>
          </w:rPr>
          <w:instrText xml:space="preserve"> PAGEREF _Toc105597628 \h </w:instrText>
        </w:r>
        <w:r>
          <w:rPr>
            <w:rFonts w:ascii="宋体" w:hAnsi="宋体" w:cs="Times New Roman"/>
            <w:noProof/>
            <w:sz w:val="24"/>
            <w:szCs w:val="24"/>
          </w:rPr>
        </w:r>
        <w:r>
          <w:rPr>
            <w:rFonts w:ascii="宋体" w:hAnsi="宋体" w:cs="Times New Roman"/>
            <w:noProof/>
            <w:sz w:val="24"/>
            <w:szCs w:val="24"/>
          </w:rPr>
          <w:fldChar w:fldCharType="separate"/>
        </w:r>
        <w:r w:rsidR="0079157F">
          <w:rPr>
            <w:rFonts w:ascii="宋体" w:hAnsi="宋体" w:cs="Times New Roman"/>
            <w:noProof/>
            <w:sz w:val="24"/>
            <w:szCs w:val="24"/>
          </w:rPr>
          <w:t>39</w:t>
        </w:r>
        <w:r>
          <w:rPr>
            <w:rFonts w:ascii="宋体" w:hAnsi="宋体" w:cs="Times New Roman"/>
            <w:noProof/>
            <w:sz w:val="24"/>
            <w:szCs w:val="24"/>
          </w:rPr>
          <w:fldChar w:fldCharType="end"/>
        </w:r>
      </w:hyperlink>
    </w:p>
    <w:p w14:paraId="7C457AF9" w14:textId="675D11CB" w:rsidR="00232224" w:rsidRDefault="00000000">
      <w:pPr>
        <w:pStyle w:val="TOC1"/>
        <w:tabs>
          <w:tab w:val="right" w:leader="dot" w:pos="8296"/>
        </w:tabs>
        <w:spacing w:line="360" w:lineRule="auto"/>
        <w:rPr>
          <w:rFonts w:ascii="宋体" w:hAnsi="宋体" w:cs="Times New Roman"/>
          <w:noProof/>
          <w:kern w:val="2"/>
          <w:sz w:val="24"/>
          <w:szCs w:val="24"/>
        </w:rPr>
      </w:pPr>
      <w:hyperlink w:anchor="_Toc105597629" w:history="1">
        <w:r>
          <w:rPr>
            <w:rStyle w:val="af9"/>
            <w:rFonts w:ascii="宋体" w:hAnsi="宋体" w:cs="Times New Roman" w:hint="eastAsia"/>
            <w:noProof/>
            <w:sz w:val="24"/>
            <w:szCs w:val="24"/>
          </w:rPr>
          <w:t>十九、基金托管协议的效力</w:t>
        </w:r>
        <w:r>
          <w:rPr>
            <w:rFonts w:ascii="宋体" w:hAnsi="宋体" w:cs="Times New Roman"/>
            <w:noProof/>
            <w:sz w:val="24"/>
            <w:szCs w:val="24"/>
          </w:rPr>
          <w:tab/>
        </w:r>
        <w:r>
          <w:rPr>
            <w:rFonts w:ascii="宋体" w:hAnsi="宋体" w:cs="Times New Roman"/>
            <w:noProof/>
            <w:sz w:val="24"/>
            <w:szCs w:val="24"/>
          </w:rPr>
          <w:fldChar w:fldCharType="begin"/>
        </w:r>
        <w:r>
          <w:rPr>
            <w:rFonts w:ascii="宋体" w:hAnsi="宋体" w:cs="Times New Roman"/>
            <w:noProof/>
            <w:sz w:val="24"/>
            <w:szCs w:val="24"/>
          </w:rPr>
          <w:instrText xml:space="preserve"> PAGEREF _Toc105597629 \h </w:instrText>
        </w:r>
        <w:r>
          <w:rPr>
            <w:rFonts w:ascii="宋体" w:hAnsi="宋体" w:cs="Times New Roman"/>
            <w:noProof/>
            <w:sz w:val="24"/>
            <w:szCs w:val="24"/>
          </w:rPr>
        </w:r>
        <w:r>
          <w:rPr>
            <w:rFonts w:ascii="宋体" w:hAnsi="宋体" w:cs="Times New Roman"/>
            <w:noProof/>
            <w:sz w:val="24"/>
            <w:szCs w:val="24"/>
          </w:rPr>
          <w:fldChar w:fldCharType="separate"/>
        </w:r>
        <w:r w:rsidR="0079157F">
          <w:rPr>
            <w:rFonts w:ascii="宋体" w:hAnsi="宋体" w:cs="Times New Roman"/>
            <w:noProof/>
            <w:sz w:val="24"/>
            <w:szCs w:val="24"/>
          </w:rPr>
          <w:t>39</w:t>
        </w:r>
        <w:r>
          <w:rPr>
            <w:rFonts w:ascii="宋体" w:hAnsi="宋体" w:cs="Times New Roman"/>
            <w:noProof/>
            <w:sz w:val="24"/>
            <w:szCs w:val="24"/>
          </w:rPr>
          <w:fldChar w:fldCharType="end"/>
        </w:r>
      </w:hyperlink>
    </w:p>
    <w:p w14:paraId="108B8C69" w14:textId="788084A4" w:rsidR="00232224" w:rsidRDefault="00000000">
      <w:pPr>
        <w:pStyle w:val="TOC1"/>
        <w:tabs>
          <w:tab w:val="right" w:leader="dot" w:pos="8296"/>
        </w:tabs>
        <w:spacing w:line="360" w:lineRule="auto"/>
        <w:rPr>
          <w:rFonts w:ascii="宋体" w:hAnsi="宋体" w:cs="Times New Roman"/>
          <w:noProof/>
          <w:kern w:val="2"/>
          <w:sz w:val="24"/>
          <w:szCs w:val="24"/>
        </w:rPr>
      </w:pPr>
      <w:hyperlink w:anchor="_Toc105597630" w:history="1">
        <w:r>
          <w:rPr>
            <w:rStyle w:val="af9"/>
            <w:rFonts w:ascii="宋体" w:hAnsi="宋体" w:cs="Times New Roman" w:hint="eastAsia"/>
            <w:noProof/>
            <w:sz w:val="24"/>
            <w:szCs w:val="24"/>
          </w:rPr>
          <w:t>二十、其他事项</w:t>
        </w:r>
        <w:r>
          <w:rPr>
            <w:rFonts w:ascii="宋体" w:hAnsi="宋体" w:cs="Times New Roman"/>
            <w:noProof/>
            <w:sz w:val="24"/>
            <w:szCs w:val="24"/>
          </w:rPr>
          <w:tab/>
        </w:r>
        <w:r>
          <w:rPr>
            <w:rFonts w:ascii="宋体" w:hAnsi="宋体" w:cs="Times New Roman"/>
            <w:noProof/>
            <w:sz w:val="24"/>
            <w:szCs w:val="24"/>
          </w:rPr>
          <w:fldChar w:fldCharType="begin"/>
        </w:r>
        <w:r>
          <w:rPr>
            <w:rFonts w:ascii="宋体" w:hAnsi="宋体" w:cs="Times New Roman"/>
            <w:noProof/>
            <w:sz w:val="24"/>
            <w:szCs w:val="24"/>
          </w:rPr>
          <w:instrText xml:space="preserve"> PAGEREF _Toc105597630 \h </w:instrText>
        </w:r>
        <w:r>
          <w:rPr>
            <w:rFonts w:ascii="宋体" w:hAnsi="宋体" w:cs="Times New Roman"/>
            <w:noProof/>
            <w:sz w:val="24"/>
            <w:szCs w:val="24"/>
          </w:rPr>
        </w:r>
        <w:r>
          <w:rPr>
            <w:rFonts w:ascii="宋体" w:hAnsi="宋体" w:cs="Times New Roman"/>
            <w:noProof/>
            <w:sz w:val="24"/>
            <w:szCs w:val="24"/>
          </w:rPr>
          <w:fldChar w:fldCharType="separate"/>
        </w:r>
        <w:r w:rsidR="0079157F">
          <w:rPr>
            <w:rFonts w:ascii="宋体" w:hAnsi="宋体" w:cs="Times New Roman"/>
            <w:noProof/>
            <w:sz w:val="24"/>
            <w:szCs w:val="24"/>
          </w:rPr>
          <w:t>39</w:t>
        </w:r>
        <w:r>
          <w:rPr>
            <w:rFonts w:ascii="宋体" w:hAnsi="宋体" w:cs="Times New Roman"/>
            <w:noProof/>
            <w:sz w:val="24"/>
            <w:szCs w:val="24"/>
          </w:rPr>
          <w:fldChar w:fldCharType="end"/>
        </w:r>
      </w:hyperlink>
    </w:p>
    <w:p w14:paraId="549645A0" w14:textId="756D76FE" w:rsidR="00232224" w:rsidRDefault="00000000">
      <w:pPr>
        <w:pStyle w:val="TOC1"/>
        <w:tabs>
          <w:tab w:val="right" w:leader="dot" w:pos="8296"/>
        </w:tabs>
        <w:spacing w:line="360" w:lineRule="auto"/>
        <w:rPr>
          <w:rFonts w:ascii="宋体" w:hAnsi="宋体" w:cs="Times New Roman"/>
          <w:noProof/>
          <w:kern w:val="2"/>
          <w:sz w:val="24"/>
          <w:szCs w:val="24"/>
        </w:rPr>
      </w:pPr>
      <w:hyperlink w:anchor="_Toc105597631" w:history="1">
        <w:r>
          <w:rPr>
            <w:rStyle w:val="af9"/>
            <w:rFonts w:ascii="宋体" w:hAnsi="宋体" w:cs="Times New Roman" w:hint="eastAsia"/>
            <w:noProof/>
            <w:sz w:val="24"/>
            <w:szCs w:val="24"/>
          </w:rPr>
          <w:t>二十一、基金托管协议的签订</w:t>
        </w:r>
        <w:r>
          <w:rPr>
            <w:rFonts w:ascii="宋体" w:hAnsi="宋体" w:cs="Times New Roman"/>
            <w:noProof/>
            <w:sz w:val="24"/>
            <w:szCs w:val="24"/>
          </w:rPr>
          <w:tab/>
        </w:r>
        <w:r>
          <w:rPr>
            <w:rFonts w:ascii="宋体" w:hAnsi="宋体" w:cs="Times New Roman"/>
            <w:noProof/>
            <w:sz w:val="24"/>
            <w:szCs w:val="24"/>
          </w:rPr>
          <w:fldChar w:fldCharType="begin"/>
        </w:r>
        <w:r>
          <w:rPr>
            <w:rFonts w:ascii="宋体" w:hAnsi="宋体" w:cs="Times New Roman"/>
            <w:noProof/>
            <w:sz w:val="24"/>
            <w:szCs w:val="24"/>
          </w:rPr>
          <w:instrText xml:space="preserve"> PAGEREF _Toc105597631 \h </w:instrText>
        </w:r>
        <w:r>
          <w:rPr>
            <w:rFonts w:ascii="宋体" w:hAnsi="宋体" w:cs="Times New Roman"/>
            <w:noProof/>
            <w:sz w:val="24"/>
            <w:szCs w:val="24"/>
          </w:rPr>
        </w:r>
        <w:r>
          <w:rPr>
            <w:rFonts w:ascii="宋体" w:hAnsi="宋体" w:cs="Times New Roman"/>
            <w:noProof/>
            <w:sz w:val="24"/>
            <w:szCs w:val="24"/>
          </w:rPr>
          <w:fldChar w:fldCharType="separate"/>
        </w:r>
        <w:r w:rsidR="0079157F">
          <w:rPr>
            <w:rFonts w:ascii="宋体" w:hAnsi="宋体" w:cs="Times New Roman"/>
            <w:noProof/>
            <w:sz w:val="24"/>
            <w:szCs w:val="24"/>
          </w:rPr>
          <w:t>40</w:t>
        </w:r>
        <w:r>
          <w:rPr>
            <w:rFonts w:ascii="宋体" w:hAnsi="宋体" w:cs="Times New Roman"/>
            <w:noProof/>
            <w:sz w:val="24"/>
            <w:szCs w:val="24"/>
          </w:rPr>
          <w:fldChar w:fldCharType="end"/>
        </w:r>
      </w:hyperlink>
    </w:p>
    <w:p w14:paraId="23F9EEC8" w14:textId="77777777" w:rsidR="00232224" w:rsidRDefault="00000000">
      <w:pPr>
        <w:spacing w:line="360" w:lineRule="auto"/>
        <w:rPr>
          <w:rFonts w:ascii="宋体" w:hAnsi="宋体" w:cs="Times New Roman"/>
          <w:sz w:val="24"/>
          <w:szCs w:val="24"/>
        </w:rPr>
      </w:pPr>
      <w:r>
        <w:rPr>
          <w:rFonts w:ascii="宋体" w:hAnsi="宋体" w:cs="Times New Roman"/>
          <w:b/>
          <w:bCs/>
          <w:sz w:val="24"/>
          <w:szCs w:val="24"/>
          <w:lang w:val="zh-CN"/>
        </w:rPr>
        <w:fldChar w:fldCharType="end"/>
      </w:r>
    </w:p>
    <w:p w14:paraId="464A3876" w14:textId="77777777" w:rsidR="00232224" w:rsidRDefault="00232224">
      <w:pPr>
        <w:spacing w:line="360" w:lineRule="auto"/>
        <w:rPr>
          <w:rFonts w:ascii="宋体" w:hAnsi="宋体" w:cs="Times New Roman"/>
          <w:sz w:val="24"/>
          <w:szCs w:val="24"/>
        </w:rPr>
      </w:pPr>
    </w:p>
    <w:p w14:paraId="2864DD7C" w14:textId="77777777" w:rsidR="00232224" w:rsidRDefault="00232224">
      <w:pPr>
        <w:pStyle w:val="TOC11"/>
        <w:spacing w:line="360" w:lineRule="auto"/>
        <w:rPr>
          <w:rFonts w:ascii="Times New Roman" w:hAnsi="Times New Roman" w:cs="Times New Roman"/>
        </w:rPr>
        <w:sectPr w:rsidR="00232224">
          <w:pgSz w:w="11906" w:h="16838"/>
          <w:pgMar w:top="1440" w:right="1800" w:bottom="1440" w:left="1800" w:header="851" w:footer="992" w:gutter="0"/>
          <w:pgNumType w:start="1"/>
          <w:cols w:space="425"/>
          <w:docGrid w:type="lines" w:linePitch="312"/>
        </w:sectPr>
      </w:pPr>
    </w:p>
    <w:p w14:paraId="4091B6FD" w14:textId="037AF260" w:rsidR="00232224" w:rsidRDefault="00000000">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lastRenderedPageBreak/>
        <w:t>鉴于海富通基金管理有限公司系一家依照中国法律合法成立并有效存续的有限责任公司，按照相关法律法规的规定具备担任基金管理人的资格和能力，拟募集发行海富通产业优选混合型证券投资基金（以下简称“本基金”或“基金”）；</w:t>
      </w:r>
    </w:p>
    <w:p w14:paraId="3125D2B1" w14:textId="77777777" w:rsidR="00232224" w:rsidRDefault="00000000">
      <w:pPr>
        <w:spacing w:line="360" w:lineRule="auto"/>
        <w:ind w:firstLine="480"/>
        <w:rPr>
          <w:rFonts w:ascii="Times New Roman" w:hAnsi="Times New Roman" w:cs="Times New Roman"/>
          <w:sz w:val="24"/>
          <w:szCs w:val="24"/>
        </w:rPr>
      </w:pPr>
      <w:bookmarkStart w:id="0" w:name="_Toc125892433"/>
      <w:bookmarkEnd w:id="0"/>
      <w:r>
        <w:rPr>
          <w:rFonts w:ascii="Times New Roman" w:hAnsi="Times New Roman" w:cs="Times New Roman" w:hint="eastAsia"/>
          <w:sz w:val="24"/>
          <w:szCs w:val="24"/>
        </w:rPr>
        <w:t>鉴于国金证券股份有限公司系一家依照中国法律合法成立并有效存续的证券公司，按照相关法律法规的规定具备担任基金托管人的资格和能力；</w:t>
      </w:r>
    </w:p>
    <w:p w14:paraId="13108E6B" w14:textId="08C03EDA" w:rsidR="00232224" w:rsidRDefault="00000000">
      <w:pPr>
        <w:spacing w:line="360" w:lineRule="auto"/>
        <w:ind w:firstLine="480"/>
        <w:rPr>
          <w:rFonts w:ascii="Times New Roman" w:hAnsi="Times New Roman" w:cs="Times New Roman"/>
          <w:sz w:val="24"/>
          <w:szCs w:val="24"/>
        </w:rPr>
      </w:pPr>
      <w:bookmarkStart w:id="1" w:name="_Toc125892434"/>
      <w:bookmarkEnd w:id="1"/>
      <w:r>
        <w:rPr>
          <w:rFonts w:ascii="Times New Roman" w:hAnsi="Times New Roman" w:cs="Times New Roman" w:hint="eastAsia"/>
          <w:sz w:val="24"/>
          <w:szCs w:val="24"/>
        </w:rPr>
        <w:t>鉴于海富通基金管理有限公司拟担任海富通产业优选混合型证券投资基金的基金管理人，国金证券股份有限公司拟担任海富通产业优选混合型证券投资基金的基金托管人；</w:t>
      </w:r>
    </w:p>
    <w:p w14:paraId="7D346899" w14:textId="5237E86B" w:rsidR="00232224" w:rsidRDefault="00000000">
      <w:pPr>
        <w:spacing w:line="360" w:lineRule="auto"/>
        <w:ind w:firstLine="480"/>
        <w:rPr>
          <w:rFonts w:ascii="Times New Roman" w:hAnsi="Times New Roman" w:cs="Times New Roman"/>
          <w:sz w:val="24"/>
          <w:szCs w:val="24"/>
        </w:rPr>
      </w:pPr>
      <w:bookmarkStart w:id="2" w:name="_Toc125892435"/>
      <w:bookmarkEnd w:id="2"/>
      <w:r>
        <w:rPr>
          <w:rFonts w:ascii="Times New Roman" w:hAnsi="Times New Roman" w:cs="Times New Roman" w:hint="eastAsia"/>
          <w:sz w:val="24"/>
          <w:szCs w:val="24"/>
        </w:rPr>
        <w:t>为明确海富通产业优选混合型证券投资基金的基金管理人和基金托管人之间的权利义务关系，特制订本协议；</w:t>
      </w:r>
    </w:p>
    <w:p w14:paraId="5E9DAB98" w14:textId="45DC25B1" w:rsidR="00232224" w:rsidRDefault="00000000">
      <w:pPr>
        <w:spacing w:line="360" w:lineRule="auto"/>
        <w:ind w:firstLine="480"/>
        <w:rPr>
          <w:rFonts w:ascii="Times New Roman" w:hAnsi="Times New Roman" w:cs="Times New Roman"/>
          <w:sz w:val="24"/>
          <w:szCs w:val="24"/>
        </w:rPr>
      </w:pPr>
      <w:bookmarkStart w:id="3" w:name="_Toc125892436"/>
      <w:bookmarkEnd w:id="3"/>
      <w:r>
        <w:rPr>
          <w:rFonts w:ascii="Times New Roman" w:hAnsi="Times New Roman" w:cs="Times New Roman" w:hint="eastAsia"/>
          <w:sz w:val="24"/>
          <w:szCs w:val="24"/>
        </w:rPr>
        <w:t>除非文义另有所指，本协议的所有术语与《海富通产业优选混合型证券投资基金基金合同》（以下简称“《基金合同》”或基金合同）中定义的相应术语具有相同的含义。若有抵触应以《基金合同》为准，并依其条款解释。</w:t>
      </w:r>
      <w:bookmarkStart w:id="4" w:name="_Toc125892437"/>
      <w:bookmarkEnd w:id="4"/>
    </w:p>
    <w:p w14:paraId="61CCC35A" w14:textId="77777777" w:rsidR="00232224" w:rsidRDefault="00000000">
      <w:pPr>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若本基金实施</w:t>
      </w:r>
      <w:proofErr w:type="gramStart"/>
      <w:r>
        <w:rPr>
          <w:rFonts w:ascii="Times New Roman" w:hAnsi="Times New Roman" w:cs="Times New Roman" w:hint="eastAsia"/>
          <w:sz w:val="24"/>
          <w:szCs w:val="24"/>
        </w:rPr>
        <w:t>侧袋机制</w:t>
      </w:r>
      <w:proofErr w:type="gramEnd"/>
      <w:r>
        <w:rPr>
          <w:rFonts w:ascii="Times New Roman" w:hAnsi="Times New Roman" w:cs="Times New Roman" w:hint="eastAsia"/>
          <w:sz w:val="24"/>
          <w:szCs w:val="24"/>
        </w:rPr>
        <w:t>的，</w:t>
      </w:r>
      <w:proofErr w:type="gramStart"/>
      <w:r>
        <w:rPr>
          <w:rFonts w:ascii="Times New Roman" w:hAnsi="Times New Roman" w:cs="Times New Roman" w:hint="eastAsia"/>
          <w:sz w:val="24"/>
          <w:szCs w:val="24"/>
        </w:rPr>
        <w:t>侧袋机制</w:t>
      </w:r>
      <w:proofErr w:type="gramEnd"/>
      <w:r>
        <w:rPr>
          <w:rFonts w:ascii="Times New Roman" w:hAnsi="Times New Roman" w:cs="Times New Roman" w:hint="eastAsia"/>
          <w:sz w:val="24"/>
          <w:szCs w:val="24"/>
        </w:rPr>
        <w:t>实施期间的相关安排详见《基金合同》和招募说明书的规定。</w:t>
      </w:r>
    </w:p>
    <w:p w14:paraId="076F4B6F" w14:textId="77777777" w:rsidR="00232224" w:rsidRDefault="00232224">
      <w:pPr>
        <w:spacing w:line="360" w:lineRule="auto"/>
        <w:ind w:firstLine="420"/>
        <w:rPr>
          <w:rFonts w:ascii="Times New Roman" w:hAnsi="Times New Roman" w:cs="Times New Roman"/>
        </w:rPr>
      </w:pPr>
    </w:p>
    <w:p w14:paraId="53AD9ED7" w14:textId="77777777" w:rsidR="00232224" w:rsidRDefault="00232224">
      <w:pPr>
        <w:spacing w:line="360" w:lineRule="auto"/>
        <w:rPr>
          <w:rFonts w:ascii="Times New Roman" w:hAnsi="Times New Roman" w:cs="Times New Roman"/>
        </w:rPr>
        <w:sectPr w:rsidR="00232224">
          <w:pgSz w:w="11906" w:h="16838"/>
          <w:pgMar w:top="1440" w:right="1800" w:bottom="1440" w:left="1800" w:header="851" w:footer="992" w:gutter="0"/>
          <w:cols w:space="425"/>
          <w:docGrid w:type="lines" w:linePitch="312"/>
        </w:sectPr>
      </w:pPr>
    </w:p>
    <w:p w14:paraId="46B37CD1" w14:textId="77777777" w:rsidR="00232224" w:rsidRDefault="00000000">
      <w:pPr>
        <w:pStyle w:val="112"/>
        <w:spacing w:beforeLines="100" w:before="312" w:beforeAutospacing="0" w:afterLines="50" w:after="156" w:afterAutospacing="0" w:line="360" w:lineRule="auto"/>
        <w:jc w:val="center"/>
        <w:rPr>
          <w:rFonts w:ascii="Times New Roman" w:hAnsi="Times New Roman" w:cs="Times New Roman"/>
          <w:sz w:val="28"/>
        </w:rPr>
      </w:pPr>
      <w:bookmarkStart w:id="5" w:name="_Toc508720679"/>
      <w:bookmarkStart w:id="6" w:name="_Toc105597611"/>
      <w:bookmarkEnd w:id="5"/>
      <w:r>
        <w:rPr>
          <w:rFonts w:ascii="Times New Roman" w:hAnsi="Times New Roman" w:cs="Times New Roman" w:hint="eastAsia"/>
          <w:sz w:val="28"/>
        </w:rPr>
        <w:lastRenderedPageBreak/>
        <w:t>一、基金托管协议当事人</w:t>
      </w:r>
      <w:bookmarkEnd w:id="6"/>
    </w:p>
    <w:p w14:paraId="6EC8282D" w14:textId="77777777" w:rsidR="00232224" w:rsidRDefault="00000000">
      <w:pPr>
        <w:spacing w:line="360" w:lineRule="auto"/>
        <w:ind w:firstLineChars="200" w:firstLine="480"/>
        <w:rPr>
          <w:rFonts w:ascii="宋体" w:hAnsi="宋体" w:cs="Times New Roman"/>
          <w:sz w:val="24"/>
        </w:rPr>
      </w:pPr>
      <w:r>
        <w:rPr>
          <w:rFonts w:ascii="宋体" w:hAnsi="宋体" w:cs="Times New Roman" w:hint="eastAsia"/>
          <w:sz w:val="24"/>
        </w:rPr>
        <w:t>（一）基金管理人</w:t>
      </w:r>
    </w:p>
    <w:p w14:paraId="0FBA46C7" w14:textId="299EC275" w:rsidR="00232224" w:rsidRDefault="00000000">
      <w:pPr>
        <w:spacing w:line="360" w:lineRule="auto"/>
        <w:ind w:firstLineChars="200" w:firstLine="480"/>
        <w:rPr>
          <w:rFonts w:ascii="宋体" w:hAnsi="宋体" w:cs="Times New Roman"/>
          <w:sz w:val="24"/>
        </w:rPr>
      </w:pPr>
      <w:r>
        <w:rPr>
          <w:rFonts w:ascii="宋体" w:hAnsi="宋体" w:cs="Times New Roman" w:hint="eastAsia"/>
          <w:sz w:val="24"/>
          <w:highlight w:val="white"/>
        </w:rPr>
        <w:t>名称：海富通基金管理有限公司</w:t>
      </w:r>
    </w:p>
    <w:p w14:paraId="783A00A7" w14:textId="77777777" w:rsidR="00232224" w:rsidRDefault="00000000">
      <w:pPr>
        <w:spacing w:line="360" w:lineRule="auto"/>
        <w:ind w:firstLineChars="200" w:firstLine="480"/>
        <w:rPr>
          <w:rFonts w:ascii="宋体" w:hAnsi="宋体" w:cs="Times New Roman"/>
          <w:sz w:val="24"/>
        </w:rPr>
      </w:pPr>
      <w:r>
        <w:rPr>
          <w:rFonts w:ascii="宋体" w:hAnsi="宋体" w:cs="Times New Roman" w:hint="eastAsia"/>
          <w:sz w:val="24"/>
          <w:highlight w:val="white"/>
        </w:rPr>
        <w:t>住所：</w:t>
      </w:r>
      <w:r>
        <w:rPr>
          <w:rFonts w:ascii="宋体" w:hAnsi="宋体" w:cs="Times New Roman" w:hint="eastAsia"/>
          <w:sz w:val="24"/>
        </w:rPr>
        <w:t>中国（上海）自由贸易试验区陆家嘴环路479号18层1802-1803室以及19层1901-1908室</w:t>
      </w:r>
    </w:p>
    <w:p w14:paraId="643807FE" w14:textId="77777777" w:rsidR="00232224" w:rsidRDefault="00000000">
      <w:pPr>
        <w:spacing w:line="360" w:lineRule="auto"/>
        <w:ind w:firstLineChars="200" w:firstLine="480"/>
        <w:rPr>
          <w:rFonts w:ascii="宋体" w:hAnsi="宋体" w:cs="Times New Roman"/>
          <w:sz w:val="24"/>
        </w:rPr>
      </w:pPr>
      <w:r>
        <w:rPr>
          <w:rFonts w:ascii="宋体" w:hAnsi="宋体" w:cs="Times New Roman" w:hint="eastAsia"/>
          <w:sz w:val="24"/>
          <w:highlight w:val="white"/>
        </w:rPr>
        <w:t>法定代表人：</w:t>
      </w:r>
      <w:proofErr w:type="gramStart"/>
      <w:r>
        <w:rPr>
          <w:rFonts w:ascii="宋体" w:hAnsi="宋体" w:cs="Times New Roman" w:hint="eastAsia"/>
          <w:sz w:val="24"/>
          <w:highlight w:val="white"/>
        </w:rPr>
        <w:t>杨仓兵</w:t>
      </w:r>
      <w:proofErr w:type="gramEnd"/>
    </w:p>
    <w:p w14:paraId="549788E5" w14:textId="77777777" w:rsidR="00232224" w:rsidRDefault="00000000">
      <w:pPr>
        <w:spacing w:line="360" w:lineRule="auto"/>
        <w:ind w:firstLineChars="200" w:firstLine="480"/>
        <w:rPr>
          <w:rFonts w:ascii="宋体" w:hAnsi="宋体" w:cs="Times New Roman"/>
          <w:sz w:val="24"/>
        </w:rPr>
      </w:pPr>
      <w:r>
        <w:rPr>
          <w:rFonts w:ascii="宋体" w:hAnsi="宋体" w:cs="Times New Roman" w:hint="eastAsia"/>
          <w:sz w:val="24"/>
          <w:highlight w:val="white"/>
        </w:rPr>
        <w:t>设立日期：</w:t>
      </w:r>
      <w:r>
        <w:rPr>
          <w:rFonts w:ascii="宋体" w:hAnsi="宋体" w:cs="Times New Roman" w:hint="eastAsia"/>
          <w:sz w:val="24"/>
        </w:rPr>
        <w:t>2003年4月18日</w:t>
      </w:r>
    </w:p>
    <w:p w14:paraId="546B8910" w14:textId="77777777" w:rsidR="00232224" w:rsidRDefault="00000000">
      <w:pPr>
        <w:spacing w:line="360" w:lineRule="auto"/>
        <w:ind w:firstLineChars="200" w:firstLine="480"/>
        <w:rPr>
          <w:rFonts w:ascii="宋体" w:hAnsi="宋体" w:cs="Times New Roman"/>
          <w:sz w:val="24"/>
        </w:rPr>
      </w:pPr>
      <w:r>
        <w:rPr>
          <w:rFonts w:ascii="宋体" w:hAnsi="宋体" w:cs="Times New Roman" w:hint="eastAsia"/>
          <w:sz w:val="24"/>
          <w:highlight w:val="white"/>
        </w:rPr>
        <w:t>批准设立机关及批准设立文号：</w:t>
      </w:r>
      <w:r>
        <w:rPr>
          <w:rFonts w:ascii="宋体" w:hAnsi="宋体" w:cs="Times New Roman" w:hint="eastAsia"/>
          <w:sz w:val="24"/>
        </w:rPr>
        <w:t>中国证监会证</w:t>
      </w:r>
      <w:proofErr w:type="gramStart"/>
      <w:r>
        <w:rPr>
          <w:rFonts w:ascii="宋体" w:hAnsi="宋体" w:cs="Times New Roman" w:hint="eastAsia"/>
          <w:sz w:val="24"/>
        </w:rPr>
        <w:t>监基金字</w:t>
      </w:r>
      <w:proofErr w:type="gramEnd"/>
      <w:r>
        <w:rPr>
          <w:rFonts w:ascii="宋体" w:hAnsi="宋体" w:cs="Times New Roman" w:hint="eastAsia"/>
          <w:sz w:val="24"/>
        </w:rPr>
        <w:t xml:space="preserve"> [2003] 48号</w:t>
      </w:r>
    </w:p>
    <w:p w14:paraId="3C761CC7" w14:textId="77777777" w:rsidR="00232224" w:rsidRDefault="00000000">
      <w:pPr>
        <w:spacing w:line="360" w:lineRule="auto"/>
        <w:ind w:firstLineChars="200" w:firstLine="480"/>
        <w:rPr>
          <w:rFonts w:ascii="宋体" w:hAnsi="宋体" w:cs="Times New Roman"/>
          <w:sz w:val="24"/>
        </w:rPr>
      </w:pPr>
      <w:r>
        <w:rPr>
          <w:rFonts w:ascii="宋体" w:hAnsi="宋体" w:cs="Times New Roman" w:hint="eastAsia"/>
          <w:sz w:val="24"/>
          <w:highlight w:val="white"/>
        </w:rPr>
        <w:t>组织形式：</w:t>
      </w:r>
      <w:r>
        <w:rPr>
          <w:rFonts w:ascii="宋体" w:hAnsi="宋体" w:cs="Times New Roman" w:hint="eastAsia"/>
          <w:sz w:val="24"/>
        </w:rPr>
        <w:t>有限责任公司</w:t>
      </w:r>
    </w:p>
    <w:p w14:paraId="1A3AE2B3" w14:textId="4A96BD19" w:rsidR="00232224" w:rsidRDefault="00000000">
      <w:pPr>
        <w:spacing w:line="360" w:lineRule="auto"/>
        <w:ind w:firstLineChars="200" w:firstLine="480"/>
        <w:rPr>
          <w:rFonts w:ascii="宋体" w:hAnsi="宋体" w:cs="Times New Roman"/>
          <w:sz w:val="24"/>
        </w:rPr>
      </w:pPr>
      <w:r>
        <w:rPr>
          <w:rFonts w:ascii="宋体" w:hAnsi="宋体" w:cs="Times New Roman" w:hint="eastAsia"/>
          <w:sz w:val="24"/>
          <w:highlight w:val="white"/>
        </w:rPr>
        <w:t>注册资本：</w:t>
      </w:r>
      <w:r>
        <w:rPr>
          <w:rFonts w:ascii="宋体" w:hAnsi="宋体" w:cs="Times New Roman" w:hint="eastAsia"/>
          <w:sz w:val="24"/>
        </w:rPr>
        <w:t>3亿元人民币</w:t>
      </w:r>
    </w:p>
    <w:p w14:paraId="6017AFC9" w14:textId="77777777" w:rsidR="00232224" w:rsidRDefault="00000000">
      <w:pPr>
        <w:spacing w:line="360" w:lineRule="auto"/>
        <w:ind w:firstLineChars="200" w:firstLine="480"/>
        <w:rPr>
          <w:rFonts w:ascii="宋体" w:hAnsi="宋体" w:cs="Times New Roman"/>
          <w:sz w:val="24"/>
        </w:rPr>
      </w:pPr>
      <w:r>
        <w:rPr>
          <w:rFonts w:ascii="宋体" w:hAnsi="宋体" w:cs="Times New Roman" w:hint="eastAsia"/>
          <w:sz w:val="24"/>
          <w:highlight w:val="white"/>
        </w:rPr>
        <w:t>存续期限：</w:t>
      </w:r>
      <w:r>
        <w:rPr>
          <w:rFonts w:ascii="宋体" w:hAnsi="宋体" w:cs="Times New Roman" w:hint="eastAsia"/>
          <w:sz w:val="24"/>
        </w:rPr>
        <w:t>持续经营</w:t>
      </w:r>
    </w:p>
    <w:p w14:paraId="07BFAC28" w14:textId="13E14393" w:rsidR="00232224" w:rsidRDefault="00000000">
      <w:pPr>
        <w:spacing w:line="360" w:lineRule="auto"/>
        <w:ind w:firstLineChars="200" w:firstLine="480"/>
        <w:rPr>
          <w:rFonts w:ascii="宋体" w:hAnsi="宋体" w:cs="Times New Roman"/>
          <w:sz w:val="24"/>
        </w:rPr>
      </w:pPr>
      <w:r>
        <w:rPr>
          <w:rFonts w:ascii="宋体" w:hAnsi="宋体" w:cs="Times New Roman" w:hint="eastAsia"/>
          <w:sz w:val="24"/>
          <w:highlight w:val="white"/>
        </w:rPr>
        <w:t>联系电话：</w:t>
      </w:r>
      <w:r>
        <w:rPr>
          <w:rFonts w:ascii="宋体" w:hAnsi="宋体" w:cs="Times New Roman"/>
          <w:sz w:val="24"/>
        </w:rPr>
        <w:t>021-38650999</w:t>
      </w:r>
    </w:p>
    <w:p w14:paraId="5F3C30DA" w14:textId="77777777" w:rsidR="00232224" w:rsidRDefault="00232224">
      <w:pPr>
        <w:spacing w:line="360" w:lineRule="auto"/>
        <w:ind w:firstLineChars="200" w:firstLine="480"/>
        <w:rPr>
          <w:rFonts w:ascii="宋体" w:hAnsi="宋体" w:cs="Times New Roman"/>
          <w:sz w:val="24"/>
        </w:rPr>
      </w:pPr>
    </w:p>
    <w:p w14:paraId="232B0F7C" w14:textId="77777777" w:rsidR="00232224" w:rsidRDefault="00000000">
      <w:pPr>
        <w:spacing w:line="360" w:lineRule="auto"/>
        <w:ind w:firstLineChars="200" w:firstLine="480"/>
        <w:rPr>
          <w:rFonts w:ascii="宋体" w:hAnsi="宋体" w:cs="Times New Roman"/>
          <w:sz w:val="24"/>
        </w:rPr>
      </w:pPr>
      <w:r>
        <w:rPr>
          <w:rFonts w:ascii="宋体" w:hAnsi="宋体" w:cs="Times New Roman" w:hint="eastAsia"/>
          <w:sz w:val="24"/>
        </w:rPr>
        <w:t>（二）基金托管人</w:t>
      </w:r>
    </w:p>
    <w:p w14:paraId="45FDDE4A" w14:textId="77777777" w:rsidR="00232224" w:rsidRDefault="00000000">
      <w:pPr>
        <w:spacing w:line="360" w:lineRule="auto"/>
        <w:ind w:firstLineChars="200" w:firstLine="480"/>
        <w:rPr>
          <w:rFonts w:ascii="宋体" w:hAnsi="宋体" w:cs="Times New Roman"/>
          <w:sz w:val="24"/>
        </w:rPr>
      </w:pPr>
      <w:r>
        <w:rPr>
          <w:rFonts w:ascii="宋体" w:hAnsi="宋体" w:cs="Times New Roman" w:hint="eastAsia"/>
          <w:sz w:val="24"/>
        </w:rPr>
        <w:t>名称：国金证券股份有限公司</w:t>
      </w:r>
    </w:p>
    <w:p w14:paraId="37459958" w14:textId="77777777" w:rsidR="00232224" w:rsidRDefault="00000000">
      <w:pPr>
        <w:spacing w:line="360" w:lineRule="auto"/>
        <w:ind w:firstLineChars="200" w:firstLine="480"/>
        <w:rPr>
          <w:rFonts w:ascii="宋体" w:hAnsi="宋体" w:cs="Times New Roman"/>
          <w:sz w:val="24"/>
        </w:rPr>
      </w:pPr>
      <w:r>
        <w:rPr>
          <w:rFonts w:ascii="宋体" w:hAnsi="宋体" w:cs="Times New Roman" w:hint="eastAsia"/>
          <w:sz w:val="24"/>
        </w:rPr>
        <w:t>住所：四川省成都市东城根上街</w:t>
      </w:r>
      <w:r>
        <w:rPr>
          <w:rFonts w:ascii="宋体" w:hAnsi="宋体" w:cs="Times New Roman"/>
          <w:sz w:val="24"/>
        </w:rPr>
        <w:t>95</w:t>
      </w:r>
      <w:r>
        <w:rPr>
          <w:rFonts w:ascii="宋体" w:hAnsi="宋体" w:cs="Times New Roman" w:hint="eastAsia"/>
          <w:sz w:val="24"/>
        </w:rPr>
        <w:t>号</w:t>
      </w:r>
    </w:p>
    <w:p w14:paraId="0418A45B" w14:textId="77777777" w:rsidR="00232224" w:rsidRDefault="00000000">
      <w:pPr>
        <w:spacing w:line="360" w:lineRule="auto"/>
        <w:ind w:firstLineChars="200" w:firstLine="480"/>
        <w:rPr>
          <w:rFonts w:ascii="宋体" w:hAnsi="宋体" w:cs="Times New Roman"/>
          <w:sz w:val="24"/>
        </w:rPr>
      </w:pPr>
      <w:r>
        <w:rPr>
          <w:rFonts w:ascii="宋体" w:hAnsi="宋体" w:cs="Times New Roman" w:hint="eastAsia"/>
          <w:sz w:val="24"/>
        </w:rPr>
        <w:t>办公地址：四川省成都市青羊区东城根上街</w:t>
      </w:r>
      <w:r>
        <w:rPr>
          <w:rFonts w:ascii="宋体" w:hAnsi="宋体" w:cs="Times New Roman"/>
          <w:sz w:val="24"/>
        </w:rPr>
        <w:t>95</w:t>
      </w:r>
      <w:r>
        <w:rPr>
          <w:rFonts w:ascii="宋体" w:hAnsi="宋体" w:cs="Times New Roman" w:hint="eastAsia"/>
          <w:sz w:val="24"/>
        </w:rPr>
        <w:t>号</w:t>
      </w:r>
      <w:r>
        <w:rPr>
          <w:rFonts w:ascii="宋体" w:hAnsi="宋体" w:cs="Times New Roman"/>
          <w:sz w:val="24"/>
        </w:rPr>
        <w:t>13</w:t>
      </w:r>
      <w:r>
        <w:rPr>
          <w:rFonts w:ascii="宋体" w:hAnsi="宋体" w:cs="Times New Roman" w:hint="eastAsia"/>
          <w:sz w:val="24"/>
        </w:rPr>
        <w:t>楼</w:t>
      </w:r>
    </w:p>
    <w:p w14:paraId="4065F34D" w14:textId="77777777" w:rsidR="00232224" w:rsidRDefault="00000000">
      <w:pPr>
        <w:spacing w:line="360" w:lineRule="auto"/>
        <w:ind w:left="1200" w:firstLineChars="200" w:firstLine="480"/>
        <w:rPr>
          <w:rFonts w:ascii="宋体" w:hAnsi="宋体" w:cs="Times New Roman"/>
          <w:sz w:val="24"/>
        </w:rPr>
      </w:pPr>
      <w:r>
        <w:rPr>
          <w:rFonts w:ascii="宋体" w:hAnsi="宋体" w:cs="Times New Roman" w:hint="eastAsia"/>
          <w:sz w:val="24"/>
        </w:rPr>
        <w:t>上海市浦东新区芳</w:t>
      </w:r>
      <w:proofErr w:type="gramStart"/>
      <w:r>
        <w:rPr>
          <w:rFonts w:ascii="宋体" w:hAnsi="宋体" w:cs="Times New Roman" w:hint="eastAsia"/>
          <w:sz w:val="24"/>
        </w:rPr>
        <w:t>甸</w:t>
      </w:r>
      <w:proofErr w:type="gramEnd"/>
      <w:r>
        <w:rPr>
          <w:rFonts w:ascii="宋体" w:hAnsi="宋体" w:cs="Times New Roman" w:hint="eastAsia"/>
          <w:sz w:val="24"/>
        </w:rPr>
        <w:t>路</w:t>
      </w:r>
      <w:r>
        <w:rPr>
          <w:rFonts w:ascii="宋体" w:hAnsi="宋体" w:cs="Times New Roman"/>
          <w:sz w:val="24"/>
        </w:rPr>
        <w:t>1088</w:t>
      </w:r>
      <w:r>
        <w:rPr>
          <w:rFonts w:ascii="宋体" w:hAnsi="宋体" w:cs="Times New Roman" w:hint="eastAsia"/>
          <w:sz w:val="24"/>
        </w:rPr>
        <w:t>号</w:t>
      </w:r>
      <w:r>
        <w:rPr>
          <w:rFonts w:ascii="宋体" w:hAnsi="宋体" w:cs="Times New Roman"/>
          <w:sz w:val="24"/>
        </w:rPr>
        <w:t>18</w:t>
      </w:r>
      <w:r>
        <w:rPr>
          <w:rFonts w:ascii="宋体" w:hAnsi="宋体" w:cs="Times New Roman" w:hint="eastAsia"/>
          <w:sz w:val="24"/>
        </w:rPr>
        <w:t>楼</w:t>
      </w:r>
    </w:p>
    <w:p w14:paraId="2233AC50" w14:textId="77777777" w:rsidR="00232224" w:rsidRDefault="00000000">
      <w:pPr>
        <w:spacing w:line="360" w:lineRule="auto"/>
        <w:ind w:firstLineChars="200" w:firstLine="480"/>
        <w:rPr>
          <w:rFonts w:ascii="宋体" w:hAnsi="宋体" w:cs="Times New Roman"/>
          <w:sz w:val="24"/>
        </w:rPr>
      </w:pPr>
      <w:r>
        <w:rPr>
          <w:rFonts w:ascii="宋体" w:hAnsi="宋体" w:cs="Times New Roman" w:hint="eastAsia"/>
          <w:sz w:val="24"/>
        </w:rPr>
        <w:t>法定代表人：冉云</w:t>
      </w:r>
    </w:p>
    <w:p w14:paraId="33663CA6" w14:textId="77777777" w:rsidR="00232224" w:rsidRDefault="00000000">
      <w:pPr>
        <w:spacing w:line="360" w:lineRule="auto"/>
        <w:ind w:firstLineChars="200" w:firstLine="480"/>
        <w:rPr>
          <w:rFonts w:ascii="宋体" w:hAnsi="宋体" w:cs="Times New Roman"/>
          <w:sz w:val="24"/>
        </w:rPr>
      </w:pPr>
      <w:r>
        <w:rPr>
          <w:rFonts w:ascii="宋体" w:hAnsi="宋体" w:cs="Times New Roman" w:hint="eastAsia"/>
          <w:sz w:val="24"/>
        </w:rPr>
        <w:t>成立时间：</w:t>
      </w:r>
      <w:r>
        <w:rPr>
          <w:rFonts w:ascii="宋体" w:hAnsi="宋体" w:cs="Times New Roman"/>
          <w:sz w:val="24"/>
        </w:rPr>
        <w:t>1996</w:t>
      </w:r>
      <w:r>
        <w:rPr>
          <w:rFonts w:ascii="宋体" w:hAnsi="宋体" w:cs="Times New Roman" w:hint="eastAsia"/>
          <w:sz w:val="24"/>
        </w:rPr>
        <w:t>年</w:t>
      </w:r>
      <w:r>
        <w:rPr>
          <w:rFonts w:ascii="宋体" w:hAnsi="宋体" w:cs="Times New Roman"/>
          <w:sz w:val="24"/>
        </w:rPr>
        <w:t>12</w:t>
      </w:r>
      <w:r>
        <w:rPr>
          <w:rFonts w:ascii="宋体" w:hAnsi="宋体" w:cs="Times New Roman" w:hint="eastAsia"/>
          <w:sz w:val="24"/>
        </w:rPr>
        <w:t>月</w:t>
      </w:r>
      <w:r>
        <w:rPr>
          <w:rFonts w:ascii="宋体" w:hAnsi="宋体" w:cs="Times New Roman"/>
          <w:sz w:val="24"/>
        </w:rPr>
        <w:t>20</w:t>
      </w:r>
      <w:r>
        <w:rPr>
          <w:rFonts w:ascii="宋体" w:hAnsi="宋体" w:cs="Times New Roman" w:hint="eastAsia"/>
          <w:sz w:val="24"/>
        </w:rPr>
        <w:t>日</w:t>
      </w:r>
    </w:p>
    <w:p w14:paraId="74317FFF" w14:textId="77777777" w:rsidR="00232224" w:rsidRDefault="00000000">
      <w:pPr>
        <w:spacing w:line="360" w:lineRule="auto"/>
        <w:ind w:firstLineChars="200" w:firstLine="480"/>
        <w:rPr>
          <w:rFonts w:ascii="宋体" w:hAnsi="宋体" w:cs="Times New Roman"/>
          <w:sz w:val="24"/>
        </w:rPr>
      </w:pPr>
      <w:r>
        <w:rPr>
          <w:rFonts w:ascii="宋体" w:hAnsi="宋体" w:cs="Times New Roman" w:hint="eastAsia"/>
          <w:sz w:val="24"/>
        </w:rPr>
        <w:t>批准设立机关及批准设立文号：中国人民银行银复</w:t>
      </w:r>
      <w:r>
        <w:rPr>
          <w:rFonts w:ascii="宋体" w:hAnsi="宋体" w:cs="Times New Roman"/>
          <w:sz w:val="24"/>
        </w:rPr>
        <w:t>[1990]498</w:t>
      </w:r>
      <w:r>
        <w:rPr>
          <w:rFonts w:ascii="宋体" w:hAnsi="宋体" w:cs="Times New Roman" w:hint="eastAsia"/>
          <w:sz w:val="24"/>
        </w:rPr>
        <w:t>号</w:t>
      </w:r>
    </w:p>
    <w:p w14:paraId="2A0855B8" w14:textId="77777777" w:rsidR="00232224" w:rsidRDefault="00000000">
      <w:pPr>
        <w:spacing w:line="360" w:lineRule="auto"/>
        <w:ind w:firstLineChars="200" w:firstLine="480"/>
        <w:rPr>
          <w:rFonts w:ascii="宋体" w:hAnsi="宋体" w:cs="Times New Roman"/>
          <w:sz w:val="24"/>
        </w:rPr>
      </w:pPr>
      <w:r>
        <w:rPr>
          <w:rFonts w:ascii="宋体" w:hAnsi="宋体" w:cs="Times New Roman" w:hint="eastAsia"/>
          <w:sz w:val="24"/>
        </w:rPr>
        <w:t>组织形式：股份有限公司</w:t>
      </w:r>
    </w:p>
    <w:p w14:paraId="1CCD45E5" w14:textId="77777777" w:rsidR="00232224" w:rsidRDefault="00000000">
      <w:pPr>
        <w:spacing w:line="360" w:lineRule="auto"/>
        <w:ind w:firstLineChars="200" w:firstLine="480"/>
        <w:rPr>
          <w:rFonts w:ascii="宋体" w:hAnsi="宋体" w:cs="Times New Roman"/>
          <w:sz w:val="24"/>
        </w:rPr>
      </w:pPr>
      <w:r>
        <w:rPr>
          <w:rFonts w:ascii="宋体" w:hAnsi="宋体" w:cs="Times New Roman" w:hint="eastAsia"/>
          <w:sz w:val="24"/>
        </w:rPr>
        <w:t>注册资本：</w:t>
      </w:r>
      <w:bookmarkStart w:id="7" w:name="_Hlk80266518"/>
      <w:r>
        <w:rPr>
          <w:rFonts w:ascii="宋体" w:hAnsi="宋体" w:cs="Times New Roman"/>
          <w:sz w:val="24"/>
        </w:rPr>
        <w:t>3,724,359,310</w:t>
      </w:r>
      <w:r>
        <w:rPr>
          <w:rFonts w:ascii="宋体" w:hAnsi="宋体" w:cs="Times New Roman" w:hint="eastAsia"/>
          <w:sz w:val="24"/>
        </w:rPr>
        <w:t>元人民币</w:t>
      </w:r>
      <w:bookmarkEnd w:id="7"/>
    </w:p>
    <w:p w14:paraId="09FF11B3" w14:textId="77777777" w:rsidR="00232224" w:rsidRDefault="00000000">
      <w:pPr>
        <w:spacing w:line="360" w:lineRule="auto"/>
        <w:ind w:firstLineChars="200" w:firstLine="480"/>
        <w:rPr>
          <w:rFonts w:ascii="宋体" w:hAnsi="宋体" w:cs="Times New Roman"/>
          <w:sz w:val="24"/>
        </w:rPr>
      </w:pPr>
      <w:r>
        <w:rPr>
          <w:rFonts w:ascii="宋体" w:hAnsi="宋体" w:cs="Times New Roman" w:hint="eastAsia"/>
          <w:sz w:val="24"/>
        </w:rPr>
        <w:t>存续期间：持续经营</w:t>
      </w:r>
    </w:p>
    <w:p w14:paraId="1956B9A6" w14:textId="77777777" w:rsidR="00232224" w:rsidRDefault="00000000">
      <w:pPr>
        <w:spacing w:line="360" w:lineRule="auto"/>
        <w:ind w:firstLineChars="200" w:firstLine="480"/>
        <w:rPr>
          <w:rFonts w:ascii="宋体" w:hAnsi="宋体" w:cs="Times New Roman"/>
          <w:sz w:val="24"/>
        </w:rPr>
      </w:pPr>
      <w:r>
        <w:rPr>
          <w:rFonts w:ascii="宋体" w:hAnsi="宋体" w:cs="Times New Roman" w:hint="eastAsia"/>
          <w:sz w:val="24"/>
        </w:rPr>
        <w:t>基金托管业务批准文号：证监许可〔</w:t>
      </w:r>
      <w:r>
        <w:rPr>
          <w:rFonts w:ascii="宋体" w:hAnsi="宋体" w:cs="Times New Roman"/>
          <w:sz w:val="24"/>
        </w:rPr>
        <w:t>2017</w:t>
      </w:r>
      <w:r>
        <w:rPr>
          <w:rFonts w:ascii="宋体" w:hAnsi="宋体" w:cs="Times New Roman" w:hint="eastAsia"/>
          <w:sz w:val="24"/>
        </w:rPr>
        <w:t>〕</w:t>
      </w:r>
      <w:r>
        <w:rPr>
          <w:rFonts w:ascii="宋体" w:hAnsi="宋体" w:cs="Times New Roman"/>
          <w:sz w:val="24"/>
        </w:rPr>
        <w:t>990</w:t>
      </w:r>
      <w:r>
        <w:rPr>
          <w:rFonts w:ascii="宋体" w:hAnsi="宋体" w:cs="Times New Roman" w:hint="eastAsia"/>
          <w:sz w:val="24"/>
        </w:rPr>
        <w:t>号</w:t>
      </w:r>
    </w:p>
    <w:p w14:paraId="2F1CE2EF" w14:textId="77777777" w:rsidR="00232224" w:rsidRDefault="00000000">
      <w:pPr>
        <w:pStyle w:val="112"/>
        <w:spacing w:beforeLines="100" w:before="312" w:beforeAutospacing="0" w:afterLines="50" w:after="156" w:afterAutospacing="0" w:line="360" w:lineRule="auto"/>
        <w:jc w:val="center"/>
        <w:rPr>
          <w:rFonts w:ascii="Times New Roman" w:hAnsi="Times New Roman" w:cs="Times New Roman"/>
          <w:sz w:val="28"/>
        </w:rPr>
      </w:pPr>
      <w:bookmarkStart w:id="8" w:name="_Toc466788852"/>
      <w:bookmarkStart w:id="9" w:name="_Toc523829993"/>
      <w:bookmarkStart w:id="10" w:name="_Toc22454435"/>
      <w:bookmarkStart w:id="11" w:name="_Toc508720680"/>
      <w:bookmarkStart w:id="12" w:name="_Toc125892438"/>
      <w:bookmarkStart w:id="13" w:name="_Toc105597612"/>
      <w:bookmarkEnd w:id="8"/>
      <w:bookmarkEnd w:id="9"/>
      <w:bookmarkEnd w:id="10"/>
      <w:bookmarkEnd w:id="11"/>
      <w:bookmarkEnd w:id="12"/>
      <w:r>
        <w:rPr>
          <w:rFonts w:ascii="Times New Roman" w:hAnsi="Times New Roman" w:cs="Times New Roman" w:hint="eastAsia"/>
          <w:sz w:val="28"/>
        </w:rPr>
        <w:t>二、基金托管协议的依据、目的和原则</w:t>
      </w:r>
      <w:bookmarkEnd w:id="13"/>
    </w:p>
    <w:p w14:paraId="023AA533" w14:textId="047DA4C5" w:rsidR="00232224" w:rsidRDefault="00000000">
      <w:pPr>
        <w:spacing w:line="360" w:lineRule="auto"/>
        <w:ind w:firstLineChars="200" w:firstLine="480"/>
        <w:rPr>
          <w:rFonts w:ascii="宋体" w:hAnsi="宋体" w:cs="Times New Roman"/>
          <w:sz w:val="24"/>
          <w:highlight w:val="white"/>
        </w:rPr>
      </w:pPr>
      <w:r>
        <w:rPr>
          <w:rFonts w:ascii="宋体" w:hAnsi="宋体" w:cs="Times New Roman" w:hint="eastAsia"/>
          <w:sz w:val="24"/>
          <w:highlight w:val="white"/>
        </w:rPr>
        <w:t>本协议依据《中华人民共和国证券投资基金法》（以下简称“《基金</w:t>
      </w:r>
      <w:r>
        <w:rPr>
          <w:rFonts w:ascii="宋体" w:hAnsi="宋体" w:cs="Times New Roman" w:hint="eastAsia"/>
          <w:sz w:val="24"/>
          <w:highlight w:val="white"/>
        </w:rPr>
        <w:lastRenderedPageBreak/>
        <w:t>法》”）、《公开募集证券投资基金销售机构监督管理办法》（以下简称“《销售办法》”）、《公开募集证券投资基金运作管理办法》（以下简称“《运作办法》”）、《公开募集证券投资基金信息披露管理办法》（以下简称“《信息披露办法》”）、《证券投资基金信息披露内容与格式准则第</w:t>
      </w:r>
      <w:r>
        <w:rPr>
          <w:rFonts w:ascii="宋体" w:hAnsi="宋体" w:cs="Times New Roman"/>
          <w:sz w:val="24"/>
          <w:highlight w:val="white"/>
        </w:rPr>
        <w:t>7</w:t>
      </w:r>
      <w:r>
        <w:rPr>
          <w:rFonts w:ascii="宋体" w:hAnsi="宋体" w:cs="Times New Roman" w:hint="eastAsia"/>
          <w:sz w:val="24"/>
          <w:highlight w:val="white"/>
        </w:rPr>
        <w:t>号〈托管协议的内容与格式〉》、《公开募集开放式证券投资基金流动性风险管理规定》</w:t>
      </w:r>
      <w:r>
        <w:rPr>
          <w:rFonts w:ascii="宋体" w:hAnsi="宋体" w:cs="Times New Roman" w:hint="eastAsia"/>
          <w:sz w:val="24"/>
        </w:rPr>
        <w:t>（以下简称“《流动性风险管理规定》”）</w:t>
      </w:r>
      <w:r>
        <w:rPr>
          <w:rFonts w:ascii="宋体" w:hAnsi="宋体" w:cs="Times New Roman" w:hint="eastAsia"/>
          <w:sz w:val="24"/>
          <w:highlight w:val="white"/>
        </w:rPr>
        <w:t>、《海富通产业优选混合型</w:t>
      </w:r>
      <w:r>
        <w:rPr>
          <w:rFonts w:ascii="宋体" w:hAnsi="宋体" w:cs="Times New Roman"/>
          <w:sz w:val="24"/>
          <w:highlight w:val="white"/>
        </w:rPr>
        <w:t>证券投资基金</w:t>
      </w:r>
      <w:r>
        <w:rPr>
          <w:rFonts w:ascii="宋体" w:hAnsi="宋体" w:cs="Times New Roman" w:hint="eastAsia"/>
          <w:sz w:val="24"/>
          <w:highlight w:val="white"/>
        </w:rPr>
        <w:t>基金合同》及其他有关规定订立。</w:t>
      </w:r>
    </w:p>
    <w:p w14:paraId="1EE035C0" w14:textId="77777777" w:rsidR="00232224" w:rsidRDefault="00000000">
      <w:pPr>
        <w:spacing w:line="360" w:lineRule="auto"/>
        <w:ind w:firstLineChars="200" w:firstLine="480"/>
        <w:rPr>
          <w:rFonts w:ascii="宋体" w:hAnsi="宋体" w:cs="Times New Roman"/>
          <w:sz w:val="24"/>
          <w:highlight w:val="white"/>
        </w:rPr>
      </w:pPr>
      <w:r>
        <w:rPr>
          <w:rFonts w:ascii="宋体" w:hAnsi="宋体" w:cs="Times New Roman" w:hint="eastAsia"/>
          <w:sz w:val="24"/>
          <w:highlight w:val="white"/>
        </w:rPr>
        <w:t>本协议的目的是明确基金管理人和基金托管人之间在基金财产的保管、投资运作、净值计算、收益分配、信息披露及相互监督等有关事宜中的权利、义务及职责，以确保基金财产的安全，保护基金份额持有人的合法权益。</w:t>
      </w:r>
    </w:p>
    <w:p w14:paraId="1A7ABE47" w14:textId="77777777" w:rsidR="00232224" w:rsidRDefault="00000000">
      <w:pPr>
        <w:spacing w:line="360" w:lineRule="auto"/>
        <w:ind w:firstLineChars="200" w:firstLine="480"/>
        <w:rPr>
          <w:rFonts w:ascii="宋体" w:hAnsi="宋体" w:cs="Times New Roman"/>
          <w:sz w:val="24"/>
          <w:highlight w:val="white"/>
        </w:rPr>
      </w:pPr>
      <w:r>
        <w:rPr>
          <w:rFonts w:ascii="宋体" w:hAnsi="宋体" w:cs="Times New Roman" w:hint="eastAsia"/>
          <w:sz w:val="24"/>
          <w:highlight w:val="white"/>
        </w:rPr>
        <w:t>基金管理人和基金托管人遵循平等自愿、诚实信用、充分保护投资者合法利益的原则，经协商一致，签订本协议。</w:t>
      </w:r>
    </w:p>
    <w:p w14:paraId="71E264C2" w14:textId="77777777" w:rsidR="00232224" w:rsidRDefault="00000000">
      <w:pPr>
        <w:spacing w:line="360" w:lineRule="auto"/>
        <w:ind w:firstLineChars="200" w:firstLine="480"/>
        <w:rPr>
          <w:rFonts w:ascii="宋体" w:hAnsi="宋体" w:cs="Times New Roman"/>
          <w:sz w:val="24"/>
          <w:highlight w:val="white"/>
        </w:rPr>
      </w:pPr>
      <w:r>
        <w:rPr>
          <w:rFonts w:ascii="宋体" w:hAnsi="宋体" w:cs="Times New Roman" w:hint="eastAsia"/>
          <w:sz w:val="24"/>
          <w:highlight w:val="white"/>
        </w:rPr>
        <w:t>除非本协议另有约定，本协议所使用的词语或简称与其在《基金合同》的释义部分具有相同含义。</w:t>
      </w:r>
      <w:bookmarkStart w:id="14" w:name="_Toc22454436"/>
      <w:bookmarkStart w:id="15" w:name="_Toc125892439"/>
      <w:bookmarkStart w:id="16" w:name="_Toc523829994"/>
      <w:bookmarkStart w:id="17" w:name="_Toc508720681"/>
      <w:bookmarkStart w:id="18" w:name="_Toc466788853"/>
      <w:bookmarkEnd w:id="14"/>
      <w:bookmarkEnd w:id="15"/>
      <w:bookmarkEnd w:id="16"/>
      <w:bookmarkEnd w:id="17"/>
      <w:bookmarkEnd w:id="18"/>
    </w:p>
    <w:p w14:paraId="154064CF" w14:textId="77777777" w:rsidR="00232224" w:rsidRDefault="00000000">
      <w:pPr>
        <w:pStyle w:val="112"/>
        <w:spacing w:beforeLines="100" w:before="312" w:beforeAutospacing="0" w:afterLines="50" w:after="156" w:afterAutospacing="0" w:line="360" w:lineRule="auto"/>
        <w:jc w:val="center"/>
        <w:rPr>
          <w:rFonts w:ascii="Times New Roman" w:hAnsi="Times New Roman" w:cs="Times New Roman"/>
          <w:sz w:val="28"/>
        </w:rPr>
      </w:pPr>
      <w:bookmarkStart w:id="19" w:name="_Toc105597613"/>
      <w:r>
        <w:rPr>
          <w:rFonts w:ascii="Times New Roman" w:hAnsi="Times New Roman" w:cs="Times New Roman" w:hint="eastAsia"/>
          <w:sz w:val="28"/>
        </w:rPr>
        <w:t>三、基金托管人对基金管理人的业务监督和核查</w:t>
      </w:r>
      <w:bookmarkEnd w:id="19"/>
    </w:p>
    <w:p w14:paraId="62681644"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（一）基金托管人对基金管理人的投资行为行使监督权</w:t>
      </w:r>
    </w:p>
    <w:p w14:paraId="4E2B09F7"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1</w:t>
      </w:r>
      <w:r>
        <w:rPr>
          <w:rFonts w:ascii="宋体" w:hAnsi="宋体" w:cs="Times New Roman" w:hint="eastAsia"/>
          <w:sz w:val="24"/>
          <w:szCs w:val="24"/>
          <w:highlight w:val="white"/>
        </w:rPr>
        <w:t>、基金托管人根据有关法律法规的规定及《基金合同》和本协议的约定，对基金的投资范围、投资对象进行监督。</w:t>
      </w:r>
    </w:p>
    <w:p w14:paraId="642A2BB5" w14:textId="77777777" w:rsidR="00232224" w:rsidRDefault="00000000">
      <w:pPr>
        <w:spacing w:line="360" w:lineRule="auto"/>
        <w:ind w:firstLineChars="200" w:firstLine="480"/>
        <w:rPr>
          <w:rFonts w:ascii="宋体" w:hAnsi="宋体" w:cs="Times New Roman"/>
          <w:sz w:val="24"/>
          <w:szCs w:val="24"/>
        </w:rPr>
      </w:pPr>
      <w:r>
        <w:rPr>
          <w:rFonts w:ascii="宋体" w:hAnsi="宋体" w:cs="Times New Roman"/>
          <w:sz w:val="24"/>
          <w:szCs w:val="24"/>
          <w:highlight w:val="white"/>
        </w:rPr>
        <w:t>本基金的投资范围</w:t>
      </w:r>
      <w:r>
        <w:rPr>
          <w:rFonts w:ascii="宋体" w:hAnsi="宋体" w:cs="Times New Roman" w:hint="eastAsia"/>
          <w:sz w:val="24"/>
          <w:szCs w:val="24"/>
          <w:highlight w:val="white"/>
        </w:rPr>
        <w:t>：</w:t>
      </w:r>
    </w:p>
    <w:p w14:paraId="1EB63131" w14:textId="77777777" w:rsidR="00232224"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国内依法发行上市的股票（包含主板、创业板及其他经中国证监会允许上市的股票）、存托凭证、港股通标的股票、债券（包括国债、央行票据、金融债券、企业债券、公司债券、中期票据、短期融资</w:t>
      </w:r>
      <w:proofErr w:type="gramStart"/>
      <w:r>
        <w:rPr>
          <w:rFonts w:ascii="宋体" w:hAnsi="宋体" w:cs="Times New Roman" w:hint="eastAsia"/>
          <w:sz w:val="24"/>
          <w:szCs w:val="24"/>
        </w:rPr>
        <w:t>券</w:t>
      </w:r>
      <w:proofErr w:type="gramEnd"/>
      <w:r>
        <w:rPr>
          <w:rFonts w:ascii="宋体" w:hAnsi="宋体" w:cs="Times New Roman" w:hint="eastAsia"/>
          <w:sz w:val="24"/>
          <w:szCs w:val="24"/>
        </w:rPr>
        <w:t>、超短期融资</w:t>
      </w:r>
      <w:proofErr w:type="gramStart"/>
      <w:r>
        <w:rPr>
          <w:rFonts w:ascii="宋体" w:hAnsi="宋体" w:cs="Times New Roman" w:hint="eastAsia"/>
          <w:sz w:val="24"/>
          <w:szCs w:val="24"/>
        </w:rPr>
        <w:t>券</w:t>
      </w:r>
      <w:proofErr w:type="gramEnd"/>
      <w:r>
        <w:rPr>
          <w:rFonts w:ascii="宋体" w:hAnsi="宋体" w:cs="Times New Roman" w:hint="eastAsia"/>
          <w:sz w:val="24"/>
          <w:szCs w:val="24"/>
        </w:rPr>
        <w:t>、次级债券、政府支持机构债、政府支持债券、地方政府债、可交换债券、可转换债券）、资产支持证券、债券回购、银行存款（包括协议存款、定期存款及其他银行存款）、货币市场工具、同业存单、股指期货、国债期货及法律法规或中国证监会允许基金投资的其他金融工具，但须符合中国证监会的相关规定。</w:t>
      </w:r>
    </w:p>
    <w:p w14:paraId="1BB910C2" w14:textId="5BF19B70"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rPr>
        <w:t>如法律法规或监管机构以后允许基金投资的其他品种，基金管理人在履行适当程序后，可以将其纳入投资范围</w:t>
      </w:r>
      <w:r>
        <w:rPr>
          <w:rFonts w:ascii="宋体" w:hAnsi="宋体" w:cs="Times New Roman"/>
          <w:sz w:val="24"/>
          <w:szCs w:val="24"/>
          <w:highlight w:val="white"/>
        </w:rPr>
        <w:t>。</w:t>
      </w:r>
    </w:p>
    <w:p w14:paraId="25C49B59"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lastRenderedPageBreak/>
        <w:t>2</w:t>
      </w:r>
      <w:r>
        <w:rPr>
          <w:rFonts w:ascii="宋体" w:hAnsi="宋体" w:cs="Times New Roman" w:hint="eastAsia"/>
          <w:sz w:val="24"/>
          <w:szCs w:val="24"/>
          <w:highlight w:val="white"/>
        </w:rPr>
        <w:t>、基金托管人根据有关法律法规的规定及《基金合同》和本协议的约定，对基金投资、融资比例进行监督。</w:t>
      </w:r>
    </w:p>
    <w:p w14:paraId="02887A01"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w:t>
      </w:r>
      <w:r>
        <w:rPr>
          <w:rFonts w:ascii="宋体" w:hAnsi="宋体" w:cs="Times New Roman"/>
          <w:sz w:val="24"/>
          <w:szCs w:val="24"/>
          <w:highlight w:val="white"/>
        </w:rPr>
        <w:t>1</w:t>
      </w:r>
      <w:r>
        <w:rPr>
          <w:rFonts w:ascii="宋体" w:hAnsi="宋体" w:cs="Times New Roman" w:hint="eastAsia"/>
          <w:sz w:val="24"/>
          <w:szCs w:val="24"/>
          <w:highlight w:val="white"/>
        </w:rPr>
        <w:t>）按法律法规的规定及《基金合同》的约定：</w:t>
      </w:r>
    </w:p>
    <w:p w14:paraId="48BD3594" w14:textId="1F57D80E" w:rsidR="00232224" w:rsidRDefault="00000000">
      <w:pPr>
        <w:spacing w:line="360" w:lineRule="auto"/>
        <w:ind w:firstLineChars="200" w:firstLine="480"/>
        <w:rPr>
          <w:rFonts w:ascii="宋体" w:hAnsi="宋体" w:cs="Times New Roman"/>
          <w:sz w:val="24"/>
          <w:szCs w:val="24"/>
        </w:rPr>
      </w:pPr>
      <w:r>
        <w:rPr>
          <w:rFonts w:ascii="宋体" w:hAnsi="宋体" w:cs="Times New Roman"/>
          <w:sz w:val="24"/>
          <w:szCs w:val="24"/>
          <w:highlight w:val="white"/>
        </w:rPr>
        <w:t>本基金</w:t>
      </w:r>
      <w:r>
        <w:rPr>
          <w:rFonts w:ascii="宋体" w:hAnsi="宋体" w:cs="Times New Roman" w:hint="eastAsia"/>
          <w:sz w:val="24"/>
          <w:szCs w:val="24"/>
        </w:rPr>
        <w:t>股票资产及存托凭证占基金资产的比例为60%-95%，投资于港股通标的股票比例占股票投资比例的0-50%。每个交易日日终在扣除股指期货合约、国债期货合约需缴纳的</w:t>
      </w:r>
      <w:r w:rsidR="008C073A">
        <w:rPr>
          <w:rFonts w:ascii="宋体" w:hAnsi="宋体" w:cs="Times New Roman" w:hint="eastAsia"/>
          <w:sz w:val="24"/>
          <w:szCs w:val="24"/>
        </w:rPr>
        <w:t>交易</w:t>
      </w:r>
      <w:r>
        <w:rPr>
          <w:rFonts w:ascii="宋体" w:hAnsi="宋体" w:cs="Times New Roman" w:hint="eastAsia"/>
          <w:sz w:val="24"/>
          <w:szCs w:val="24"/>
        </w:rPr>
        <w:t>保证金以后，基金保留的现金或投资于到期日在一年以内的政府债券的比例合计不低于基金资产净值的5%，本基金所指的现金不包括结算备付金、存出保证金、应收申购款等。</w:t>
      </w:r>
    </w:p>
    <w:p w14:paraId="1DBD57F8" w14:textId="6DF51905"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rPr>
        <w:t>如法律法规或监管机构变更投资品种的投资比例限制，基金管理人在履行适当程序后，可以调整上述投资品种的投资比例</w:t>
      </w:r>
      <w:r>
        <w:rPr>
          <w:rFonts w:ascii="宋体" w:hAnsi="宋体" w:cs="Times New Roman"/>
          <w:sz w:val="24"/>
          <w:szCs w:val="24"/>
          <w:highlight w:val="white"/>
        </w:rPr>
        <w:t>。</w:t>
      </w:r>
    </w:p>
    <w:p w14:paraId="03E4907A"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w:t>
      </w:r>
      <w:r>
        <w:rPr>
          <w:rFonts w:ascii="宋体" w:hAnsi="宋体" w:cs="Times New Roman"/>
          <w:sz w:val="24"/>
          <w:szCs w:val="24"/>
          <w:highlight w:val="white"/>
        </w:rPr>
        <w:t>2</w:t>
      </w:r>
      <w:r>
        <w:rPr>
          <w:rFonts w:ascii="宋体" w:hAnsi="宋体" w:cs="Times New Roman" w:hint="eastAsia"/>
          <w:sz w:val="24"/>
          <w:szCs w:val="24"/>
          <w:highlight w:val="white"/>
        </w:rPr>
        <w:t>）根据法律法规的规定及《基金合同》的约定，本基金投资组合遵循以下投资限制：</w:t>
      </w:r>
    </w:p>
    <w:p w14:paraId="49E6F4A1" w14:textId="402F9A81"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1</w:t>
      </w:r>
      <w:r>
        <w:rPr>
          <w:rFonts w:ascii="宋体" w:hAnsi="宋体" w:cs="Times New Roman" w:hint="eastAsia"/>
          <w:sz w:val="24"/>
          <w:szCs w:val="24"/>
          <w:highlight w:val="white"/>
        </w:rPr>
        <w:t>）</w:t>
      </w:r>
      <w:r>
        <w:rPr>
          <w:rFonts w:ascii="宋体" w:hAnsi="宋体" w:cs="Times New Roman" w:hint="eastAsia"/>
          <w:sz w:val="24"/>
          <w:szCs w:val="24"/>
        </w:rPr>
        <w:t>本基金对股票资产及存托凭证的投资比例占基金资产的比例为60%—95%，投资于港股通标的股票比例占股票投资比例的0-50%</w:t>
      </w:r>
      <w:r>
        <w:rPr>
          <w:rFonts w:ascii="宋体" w:hAnsi="宋体" w:cs="Times New Roman" w:hint="eastAsia"/>
          <w:sz w:val="24"/>
          <w:szCs w:val="24"/>
          <w:highlight w:val="white"/>
        </w:rPr>
        <w:t>；</w:t>
      </w:r>
    </w:p>
    <w:p w14:paraId="3C439722" w14:textId="65BD7068"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2</w:t>
      </w:r>
      <w:r>
        <w:rPr>
          <w:rFonts w:ascii="宋体" w:hAnsi="宋体" w:cs="Times New Roman" w:hint="eastAsia"/>
          <w:sz w:val="24"/>
          <w:szCs w:val="24"/>
          <w:highlight w:val="white"/>
        </w:rPr>
        <w:t>）</w:t>
      </w:r>
      <w:r>
        <w:rPr>
          <w:rFonts w:ascii="宋体" w:hAnsi="宋体" w:cs="Times New Roman" w:hint="eastAsia"/>
          <w:sz w:val="24"/>
          <w:szCs w:val="24"/>
        </w:rPr>
        <w:t>本基金每个交易日日终在扣除股指期货合约和国债期货合约需缴纳的交易保证金后，持有现金或者到期日在一年以内的政府债券投资比例合计不低于基金资产净值的5%，其中现金不包括结算备付金、存出保证金、应收申购款等</w:t>
      </w:r>
      <w:r>
        <w:rPr>
          <w:rFonts w:ascii="宋体" w:hAnsi="宋体" w:cs="Times New Roman" w:hint="eastAsia"/>
          <w:sz w:val="24"/>
          <w:szCs w:val="24"/>
          <w:highlight w:val="white"/>
        </w:rPr>
        <w:t>；</w:t>
      </w:r>
    </w:p>
    <w:p w14:paraId="0809DA9B" w14:textId="5F49D75E"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3</w:t>
      </w:r>
      <w:r>
        <w:rPr>
          <w:rFonts w:ascii="宋体" w:hAnsi="宋体" w:cs="Times New Roman" w:hint="eastAsia"/>
          <w:sz w:val="24"/>
          <w:szCs w:val="24"/>
          <w:highlight w:val="white"/>
        </w:rPr>
        <w:t>）</w:t>
      </w:r>
      <w:r>
        <w:rPr>
          <w:rFonts w:ascii="宋体" w:hAnsi="宋体" w:cs="Times New Roman" w:hint="eastAsia"/>
          <w:sz w:val="24"/>
          <w:szCs w:val="24"/>
        </w:rPr>
        <w:t>本基金持有一家公司发行的证券（同一家公司在内地和香港同时上市的A+H股合计计算），其市值不超过基金资产净值的10%</w:t>
      </w:r>
      <w:r>
        <w:rPr>
          <w:rFonts w:ascii="宋体" w:hAnsi="宋体" w:cs="Times New Roman" w:hint="eastAsia"/>
          <w:sz w:val="24"/>
          <w:szCs w:val="24"/>
          <w:highlight w:val="white"/>
        </w:rPr>
        <w:t>；</w:t>
      </w:r>
    </w:p>
    <w:p w14:paraId="7D142B52" w14:textId="5995C2B6"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4</w:t>
      </w:r>
      <w:r>
        <w:rPr>
          <w:rFonts w:ascii="宋体" w:hAnsi="宋体" w:cs="Times New Roman" w:hint="eastAsia"/>
          <w:sz w:val="24"/>
          <w:szCs w:val="24"/>
          <w:highlight w:val="white"/>
        </w:rPr>
        <w:t>）</w:t>
      </w:r>
      <w:r>
        <w:rPr>
          <w:rFonts w:ascii="宋体" w:hAnsi="宋体" w:cs="Times New Roman" w:hint="eastAsia"/>
          <w:sz w:val="24"/>
          <w:szCs w:val="24"/>
        </w:rPr>
        <w:t>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r>
        <w:rPr>
          <w:rFonts w:ascii="宋体" w:hAnsi="宋体" w:cs="Times New Roman" w:hint="eastAsia"/>
          <w:sz w:val="24"/>
          <w:szCs w:val="24"/>
          <w:highlight w:val="white"/>
        </w:rPr>
        <w:t>；</w:t>
      </w:r>
    </w:p>
    <w:p w14:paraId="09CEDFC7" w14:textId="4AE5CDFA"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5</w:t>
      </w:r>
      <w:r>
        <w:rPr>
          <w:rFonts w:ascii="宋体" w:hAnsi="宋体" w:cs="Times New Roman" w:hint="eastAsia"/>
          <w:sz w:val="24"/>
          <w:szCs w:val="24"/>
          <w:highlight w:val="white"/>
        </w:rPr>
        <w:t>）</w:t>
      </w:r>
      <w:r>
        <w:rPr>
          <w:rFonts w:ascii="宋体" w:hAnsi="宋体" w:cs="Times New Roman" w:hint="eastAsia"/>
          <w:sz w:val="24"/>
          <w:szCs w:val="24"/>
        </w:rPr>
        <w:t>本基金投资于同一原始权益人的各类资产支持证券的比例，不得超过基金资产净值的10%</w:t>
      </w:r>
      <w:r>
        <w:rPr>
          <w:rFonts w:ascii="宋体" w:hAnsi="宋体" w:cs="Times New Roman" w:hint="eastAsia"/>
          <w:sz w:val="24"/>
          <w:szCs w:val="24"/>
          <w:highlight w:val="white"/>
        </w:rPr>
        <w:t>；</w:t>
      </w:r>
    </w:p>
    <w:p w14:paraId="606B99DA" w14:textId="7229D8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6</w:t>
      </w:r>
      <w:r>
        <w:rPr>
          <w:rFonts w:ascii="宋体" w:hAnsi="宋体" w:cs="Times New Roman" w:hint="eastAsia"/>
          <w:sz w:val="24"/>
          <w:szCs w:val="24"/>
          <w:highlight w:val="white"/>
        </w:rPr>
        <w:t>）</w:t>
      </w:r>
      <w:r>
        <w:rPr>
          <w:rFonts w:ascii="宋体" w:hAnsi="宋体" w:cs="Times New Roman" w:hint="eastAsia"/>
          <w:sz w:val="24"/>
          <w:szCs w:val="24"/>
        </w:rPr>
        <w:t>本基金持有的全部资产支持证券，其市值不得超过基金资产净值的20%</w:t>
      </w:r>
      <w:r>
        <w:rPr>
          <w:rFonts w:ascii="宋体" w:hAnsi="宋体" w:cs="Times New Roman" w:hint="eastAsia"/>
          <w:sz w:val="24"/>
          <w:szCs w:val="24"/>
          <w:highlight w:val="white"/>
        </w:rPr>
        <w:t>；</w:t>
      </w:r>
    </w:p>
    <w:p w14:paraId="1AFA21C1" w14:textId="07EB69EA"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7</w:t>
      </w:r>
      <w:r>
        <w:rPr>
          <w:rFonts w:ascii="宋体" w:hAnsi="宋体" w:cs="Times New Roman" w:hint="eastAsia"/>
          <w:sz w:val="24"/>
          <w:szCs w:val="24"/>
          <w:highlight w:val="white"/>
        </w:rPr>
        <w:t>）</w:t>
      </w:r>
      <w:r>
        <w:rPr>
          <w:rFonts w:ascii="宋体" w:hAnsi="宋体" w:cs="Times New Roman" w:hint="eastAsia"/>
          <w:sz w:val="24"/>
          <w:szCs w:val="24"/>
        </w:rPr>
        <w:t>本基金持有的同一（指同一信用级别）资产支持证券的比例，不得超过该资产支持证券规模的10%</w:t>
      </w:r>
      <w:r>
        <w:rPr>
          <w:rFonts w:ascii="宋体" w:hAnsi="宋体" w:cs="Times New Roman" w:hint="eastAsia"/>
          <w:sz w:val="24"/>
          <w:szCs w:val="24"/>
          <w:highlight w:val="white"/>
        </w:rPr>
        <w:t>；</w:t>
      </w:r>
    </w:p>
    <w:p w14:paraId="08EDAFA0" w14:textId="09C9BCB4"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8</w:t>
      </w:r>
      <w:r>
        <w:rPr>
          <w:rFonts w:ascii="宋体" w:hAnsi="宋体" w:cs="Times New Roman" w:hint="eastAsia"/>
          <w:sz w:val="24"/>
          <w:szCs w:val="24"/>
          <w:highlight w:val="white"/>
        </w:rPr>
        <w:t>）</w:t>
      </w:r>
      <w:r>
        <w:rPr>
          <w:rFonts w:ascii="宋体" w:hAnsi="宋体" w:cs="Times New Roman" w:hint="eastAsia"/>
          <w:sz w:val="24"/>
          <w:szCs w:val="24"/>
        </w:rPr>
        <w:t>本基金管理人管理的全部基金投资于同一原始权益人的各类资产支持证券，不得超过其各类资产支持证券合计规模的10%</w:t>
      </w:r>
      <w:r>
        <w:rPr>
          <w:rFonts w:ascii="宋体" w:hAnsi="宋体" w:cs="Times New Roman" w:hint="eastAsia"/>
          <w:sz w:val="24"/>
          <w:szCs w:val="24"/>
          <w:highlight w:val="white"/>
        </w:rPr>
        <w:t>；</w:t>
      </w:r>
    </w:p>
    <w:p w14:paraId="21773DAE" w14:textId="4317EC6B"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lastRenderedPageBreak/>
        <w:t>9</w:t>
      </w:r>
      <w:r>
        <w:rPr>
          <w:rFonts w:ascii="宋体" w:hAnsi="宋体" w:cs="Times New Roman" w:hint="eastAsia"/>
          <w:sz w:val="24"/>
          <w:szCs w:val="24"/>
          <w:highlight w:val="white"/>
        </w:rPr>
        <w:t>）</w:t>
      </w:r>
      <w:r>
        <w:rPr>
          <w:rFonts w:ascii="宋体" w:hAnsi="宋体" w:cs="Times New Roman" w:hint="eastAsia"/>
          <w:sz w:val="24"/>
          <w:szCs w:val="24"/>
        </w:rPr>
        <w:t>本基金应投资于信用级别评级为BBB以上（含BBB）的资产支持证券。基金持有资产支持证券期间，如果其信用等级下降、不再符合投资标准，应在评级报告发布之日起3个月内予以全部卖出</w:t>
      </w:r>
      <w:r>
        <w:rPr>
          <w:rFonts w:ascii="宋体" w:hAnsi="宋体" w:cs="Times New Roman" w:hint="eastAsia"/>
          <w:sz w:val="24"/>
          <w:szCs w:val="24"/>
          <w:highlight w:val="white"/>
        </w:rPr>
        <w:t>；</w:t>
      </w:r>
    </w:p>
    <w:p w14:paraId="76860AA8" w14:textId="07D5A48F"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10</w:t>
      </w:r>
      <w:r>
        <w:rPr>
          <w:rFonts w:ascii="宋体" w:hAnsi="宋体" w:cs="Times New Roman" w:hint="eastAsia"/>
          <w:sz w:val="24"/>
          <w:szCs w:val="24"/>
          <w:highlight w:val="white"/>
        </w:rPr>
        <w:t>）</w:t>
      </w:r>
      <w:r>
        <w:rPr>
          <w:rFonts w:ascii="宋体" w:hAnsi="宋体" w:cs="Times New Roman" w:hint="eastAsia"/>
          <w:sz w:val="24"/>
          <w:szCs w:val="24"/>
        </w:rPr>
        <w:t>基金财产参与股票发行申购，本基金所申报的金额不超过本基金的总资产，本基金所申报的股票数量不超过拟发行股票公司本次发行股票的总量</w:t>
      </w:r>
      <w:r>
        <w:rPr>
          <w:rFonts w:ascii="宋体" w:hAnsi="宋体" w:cs="Times New Roman" w:hint="eastAsia"/>
          <w:sz w:val="24"/>
          <w:szCs w:val="24"/>
          <w:highlight w:val="white"/>
        </w:rPr>
        <w:t>；</w:t>
      </w:r>
    </w:p>
    <w:p w14:paraId="0F53D60E" w14:textId="2389EE34"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11</w:t>
      </w:r>
      <w:r>
        <w:rPr>
          <w:rFonts w:ascii="宋体" w:hAnsi="宋体" w:cs="Times New Roman" w:hint="eastAsia"/>
          <w:sz w:val="24"/>
          <w:szCs w:val="24"/>
          <w:highlight w:val="white"/>
        </w:rPr>
        <w:t>）</w:t>
      </w:r>
      <w:r>
        <w:rPr>
          <w:rFonts w:ascii="宋体" w:hAnsi="宋体" w:cs="Times New Roman" w:hint="eastAsia"/>
          <w:sz w:val="24"/>
          <w:szCs w:val="24"/>
        </w:rPr>
        <w:t>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r>
        <w:rPr>
          <w:rFonts w:ascii="宋体" w:hAnsi="宋体" w:cs="Times New Roman" w:hint="eastAsia"/>
          <w:sz w:val="24"/>
          <w:szCs w:val="24"/>
          <w:highlight w:val="white"/>
        </w:rPr>
        <w:t>；</w:t>
      </w:r>
    </w:p>
    <w:p w14:paraId="1E4796DA" w14:textId="7D2A17BE"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12</w:t>
      </w:r>
      <w:r>
        <w:rPr>
          <w:rFonts w:ascii="宋体" w:hAnsi="宋体" w:cs="Times New Roman" w:hint="eastAsia"/>
          <w:sz w:val="24"/>
          <w:szCs w:val="24"/>
          <w:highlight w:val="white"/>
        </w:rPr>
        <w:t>）</w:t>
      </w:r>
      <w:r>
        <w:rPr>
          <w:rFonts w:ascii="宋体" w:hAnsi="宋体" w:cs="Times New Roman" w:hint="eastAsia"/>
          <w:sz w:val="24"/>
          <w:szCs w:val="24"/>
        </w:rPr>
        <w:t>本基金资产总值不超过基金资产净值的140%</w:t>
      </w:r>
      <w:r>
        <w:rPr>
          <w:rFonts w:ascii="宋体" w:hAnsi="宋体" w:cs="Times New Roman" w:hint="eastAsia"/>
          <w:sz w:val="24"/>
          <w:szCs w:val="24"/>
          <w:highlight w:val="white"/>
        </w:rPr>
        <w:t>；</w:t>
      </w:r>
    </w:p>
    <w:p w14:paraId="3B72F2C7" w14:textId="7FBA0D3C"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13</w:t>
      </w:r>
      <w:r>
        <w:rPr>
          <w:rFonts w:ascii="宋体" w:hAnsi="宋体" w:cs="Times New Roman" w:hint="eastAsia"/>
          <w:sz w:val="24"/>
          <w:szCs w:val="24"/>
          <w:highlight w:val="white"/>
        </w:rPr>
        <w:t>）</w:t>
      </w:r>
      <w:r>
        <w:rPr>
          <w:rFonts w:ascii="宋体" w:hAnsi="宋体" w:cs="Times New Roman" w:hint="eastAsia"/>
          <w:sz w:val="24"/>
          <w:szCs w:val="24"/>
        </w:rPr>
        <w:t>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r>
        <w:rPr>
          <w:rFonts w:ascii="宋体" w:hAnsi="宋体" w:cs="Times New Roman" w:hint="eastAsia"/>
          <w:sz w:val="24"/>
          <w:szCs w:val="24"/>
          <w:highlight w:val="white"/>
        </w:rPr>
        <w:t>；</w:t>
      </w:r>
    </w:p>
    <w:p w14:paraId="43D87E01" w14:textId="7D62565B"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14</w:t>
      </w:r>
      <w:r>
        <w:rPr>
          <w:rFonts w:ascii="宋体" w:hAnsi="宋体" w:cs="Times New Roman" w:hint="eastAsia"/>
          <w:sz w:val="24"/>
          <w:szCs w:val="24"/>
          <w:highlight w:val="white"/>
        </w:rPr>
        <w:t>）</w:t>
      </w:r>
      <w:r>
        <w:rPr>
          <w:rFonts w:ascii="宋体" w:hAnsi="宋体" w:cs="Times New Roman" w:hint="eastAsia"/>
          <w:sz w:val="24"/>
          <w:szCs w:val="24"/>
        </w:rPr>
        <w:t>本基金与私募类</w:t>
      </w:r>
      <w:proofErr w:type="gramStart"/>
      <w:r>
        <w:rPr>
          <w:rFonts w:ascii="宋体" w:hAnsi="宋体" w:cs="Times New Roman" w:hint="eastAsia"/>
          <w:sz w:val="24"/>
          <w:szCs w:val="24"/>
        </w:rPr>
        <w:t>证券资管产品</w:t>
      </w:r>
      <w:proofErr w:type="gramEnd"/>
      <w:r>
        <w:rPr>
          <w:rFonts w:ascii="宋体" w:hAnsi="宋体" w:cs="Times New Roman" w:hint="eastAsia"/>
          <w:sz w:val="24"/>
          <w:szCs w:val="24"/>
        </w:rPr>
        <w:t>及中国证监会认定的其他主体为交易对手开展逆回购交易的，可接受质押品的资质要求应当与基金合同约定的投资范围保持一致</w:t>
      </w:r>
      <w:r>
        <w:rPr>
          <w:rFonts w:ascii="宋体" w:hAnsi="宋体" w:cs="Times New Roman" w:hint="eastAsia"/>
          <w:sz w:val="24"/>
          <w:szCs w:val="24"/>
          <w:highlight w:val="white"/>
        </w:rPr>
        <w:t>；</w:t>
      </w:r>
    </w:p>
    <w:p w14:paraId="6366D1AA" w14:textId="77777777" w:rsidR="00232224" w:rsidRDefault="00000000">
      <w:pPr>
        <w:spacing w:line="360" w:lineRule="auto"/>
        <w:ind w:firstLineChars="200" w:firstLine="480"/>
        <w:rPr>
          <w:rFonts w:ascii="宋体" w:hAnsi="宋体" w:cs="Times New Roman"/>
          <w:sz w:val="24"/>
          <w:szCs w:val="24"/>
        </w:rPr>
      </w:pPr>
      <w:r>
        <w:rPr>
          <w:rFonts w:ascii="宋体" w:hAnsi="宋体" w:cs="Times New Roman"/>
          <w:sz w:val="24"/>
          <w:szCs w:val="24"/>
          <w:highlight w:val="white"/>
        </w:rPr>
        <w:t>15</w:t>
      </w:r>
      <w:r>
        <w:rPr>
          <w:rFonts w:ascii="宋体" w:hAnsi="宋体" w:cs="Times New Roman" w:hint="eastAsia"/>
          <w:sz w:val="24"/>
          <w:szCs w:val="24"/>
          <w:highlight w:val="white"/>
        </w:rPr>
        <w:t>）</w:t>
      </w:r>
      <w:r>
        <w:rPr>
          <w:rFonts w:ascii="宋体" w:hAnsi="宋体" w:cs="Times New Roman" w:hint="eastAsia"/>
          <w:sz w:val="24"/>
          <w:szCs w:val="24"/>
        </w:rPr>
        <w:t>本基金投资股指期货、国债期货，应遵循以下中国证监会规定的投资限制：</w:t>
      </w:r>
    </w:p>
    <w:p w14:paraId="7A8656C6" w14:textId="77777777" w:rsidR="00232224" w:rsidRDefault="00000000">
      <w:pPr>
        <w:pStyle w:val="afc"/>
        <w:numPr>
          <w:ilvl w:val="0"/>
          <w:numId w:val="1"/>
        </w:numPr>
        <w:spacing w:line="360" w:lineRule="auto"/>
        <w:ind w:firstLineChars="200" w:firstLine="480"/>
        <w:rPr>
          <w:rFonts w:ascii="宋体" w:hAnsi="宋体" w:cs="Times New Roman"/>
          <w:sz w:val="24"/>
          <w:szCs w:val="24"/>
        </w:rPr>
      </w:pPr>
      <w:r>
        <w:rPr>
          <w:rFonts w:ascii="宋体" w:hAnsi="宋体" w:cs="Times New Roman" w:hint="eastAsia"/>
          <w:sz w:val="24"/>
          <w:szCs w:val="24"/>
        </w:rPr>
        <w:t>本基金在任何交易日日终，持有的买入股指期货合约价值，不得超过基金资产净值的</w:t>
      </w:r>
      <w:r>
        <w:rPr>
          <w:rFonts w:ascii="宋体" w:hAnsi="宋体" w:cs="Times New Roman"/>
          <w:sz w:val="24"/>
          <w:szCs w:val="24"/>
        </w:rPr>
        <w:t>10%</w:t>
      </w:r>
      <w:r>
        <w:rPr>
          <w:rFonts w:ascii="宋体" w:hAnsi="宋体" w:cs="Times New Roman" w:hint="eastAsia"/>
          <w:sz w:val="24"/>
          <w:szCs w:val="24"/>
        </w:rPr>
        <w:t>；</w:t>
      </w:r>
    </w:p>
    <w:p w14:paraId="0EBBD8FA" w14:textId="77777777" w:rsidR="00232224" w:rsidRDefault="00000000">
      <w:pPr>
        <w:pStyle w:val="afc"/>
        <w:numPr>
          <w:ilvl w:val="0"/>
          <w:numId w:val="1"/>
        </w:numPr>
        <w:spacing w:line="360" w:lineRule="auto"/>
        <w:ind w:firstLineChars="200" w:firstLine="480"/>
        <w:rPr>
          <w:rFonts w:ascii="宋体" w:hAnsi="宋体" w:cs="Times New Roman"/>
          <w:sz w:val="24"/>
          <w:szCs w:val="24"/>
        </w:rPr>
      </w:pPr>
      <w:r>
        <w:rPr>
          <w:rFonts w:ascii="宋体" w:hAnsi="宋体" w:cs="Times New Roman" w:hint="eastAsia"/>
          <w:sz w:val="24"/>
          <w:szCs w:val="24"/>
        </w:rPr>
        <w:t>本基金在任何交易日日终，持有的买入国债期货合约价值，不得超过基金资产净值的</w:t>
      </w:r>
      <w:r>
        <w:rPr>
          <w:rFonts w:ascii="宋体" w:hAnsi="宋体" w:cs="Times New Roman"/>
          <w:sz w:val="24"/>
          <w:szCs w:val="24"/>
        </w:rPr>
        <w:t>15%</w:t>
      </w:r>
      <w:r>
        <w:rPr>
          <w:rFonts w:ascii="宋体" w:hAnsi="宋体" w:cs="Times New Roman" w:hint="eastAsia"/>
          <w:sz w:val="24"/>
          <w:szCs w:val="24"/>
        </w:rPr>
        <w:t>；</w:t>
      </w:r>
    </w:p>
    <w:p w14:paraId="577FA9CA" w14:textId="0BDE9E99" w:rsidR="00232224" w:rsidRDefault="00000000">
      <w:pPr>
        <w:pStyle w:val="afc"/>
        <w:numPr>
          <w:ilvl w:val="0"/>
          <w:numId w:val="1"/>
        </w:numPr>
        <w:spacing w:line="360" w:lineRule="auto"/>
        <w:ind w:firstLineChars="200" w:firstLine="480"/>
        <w:rPr>
          <w:rFonts w:ascii="宋体" w:hAnsi="宋体" w:cs="Times New Roman"/>
          <w:sz w:val="24"/>
          <w:szCs w:val="24"/>
        </w:rPr>
      </w:pPr>
      <w:r>
        <w:rPr>
          <w:rFonts w:ascii="宋体" w:hAnsi="宋体" w:cs="Times New Roman" w:hint="eastAsia"/>
          <w:sz w:val="24"/>
          <w:szCs w:val="24"/>
        </w:rPr>
        <w:t>本基金在任何交易日日终，持有的买入股指期货和国债期货合约价值与有价证券市值之和，不得超过基金资产净值的</w:t>
      </w:r>
      <w:r>
        <w:rPr>
          <w:rFonts w:ascii="宋体" w:hAnsi="宋体" w:cs="Times New Roman"/>
          <w:sz w:val="24"/>
          <w:szCs w:val="24"/>
        </w:rPr>
        <w:t>95%</w:t>
      </w:r>
      <w:r>
        <w:rPr>
          <w:rFonts w:ascii="宋体" w:hAnsi="宋体" w:cs="Times New Roman" w:hint="eastAsia"/>
          <w:sz w:val="24"/>
          <w:szCs w:val="24"/>
        </w:rPr>
        <w:t>；其中，有价证券指股票、债券（不含到期日在一年以内的政府债券）、资产支持证券、买入返售金融资产（不含质押式回购）等；</w:t>
      </w:r>
    </w:p>
    <w:p w14:paraId="57A18259" w14:textId="77777777" w:rsidR="00232224" w:rsidRDefault="00000000">
      <w:pPr>
        <w:pStyle w:val="afc"/>
        <w:numPr>
          <w:ilvl w:val="0"/>
          <w:numId w:val="1"/>
        </w:numPr>
        <w:spacing w:line="360" w:lineRule="auto"/>
        <w:ind w:firstLineChars="200" w:firstLine="480"/>
        <w:rPr>
          <w:rFonts w:ascii="宋体" w:hAnsi="宋体" w:cs="Times New Roman"/>
          <w:sz w:val="24"/>
          <w:szCs w:val="24"/>
        </w:rPr>
      </w:pPr>
      <w:r>
        <w:rPr>
          <w:rFonts w:ascii="宋体" w:hAnsi="宋体" w:cs="Times New Roman" w:hint="eastAsia"/>
          <w:sz w:val="24"/>
          <w:szCs w:val="24"/>
        </w:rPr>
        <w:t>本基金在任何交易日日终，持有的卖出股指期货合约价值不得超过</w:t>
      </w:r>
      <w:r>
        <w:rPr>
          <w:rFonts w:ascii="宋体" w:hAnsi="宋体" w:cs="Times New Roman" w:hint="eastAsia"/>
          <w:sz w:val="24"/>
          <w:szCs w:val="24"/>
        </w:rPr>
        <w:lastRenderedPageBreak/>
        <w:t>基金持有的股票总市值的</w:t>
      </w:r>
      <w:r>
        <w:rPr>
          <w:rFonts w:ascii="宋体" w:hAnsi="宋体" w:cs="Times New Roman"/>
          <w:sz w:val="24"/>
          <w:szCs w:val="24"/>
        </w:rPr>
        <w:t>20%</w:t>
      </w:r>
      <w:r>
        <w:rPr>
          <w:rFonts w:ascii="宋体" w:hAnsi="宋体" w:cs="Times New Roman" w:hint="eastAsia"/>
          <w:sz w:val="24"/>
          <w:szCs w:val="24"/>
        </w:rPr>
        <w:t>；</w:t>
      </w:r>
    </w:p>
    <w:p w14:paraId="6A12739C" w14:textId="77777777" w:rsidR="00232224" w:rsidRDefault="00000000">
      <w:pPr>
        <w:pStyle w:val="afc"/>
        <w:numPr>
          <w:ilvl w:val="0"/>
          <w:numId w:val="1"/>
        </w:numPr>
        <w:spacing w:line="360" w:lineRule="auto"/>
        <w:ind w:firstLineChars="200" w:firstLine="480"/>
        <w:rPr>
          <w:rFonts w:ascii="宋体" w:hAnsi="宋体" w:cs="Times New Roman"/>
          <w:sz w:val="24"/>
          <w:szCs w:val="24"/>
        </w:rPr>
      </w:pPr>
      <w:r>
        <w:rPr>
          <w:rFonts w:ascii="宋体" w:hAnsi="宋体" w:cs="Times New Roman" w:hint="eastAsia"/>
          <w:sz w:val="24"/>
          <w:szCs w:val="24"/>
        </w:rPr>
        <w:t>本基金在任何交易日日终，持有的卖出国债期货合约价值不得超过基金持有的债券总市值的</w:t>
      </w:r>
      <w:r>
        <w:rPr>
          <w:rFonts w:ascii="宋体" w:hAnsi="宋体" w:cs="Times New Roman"/>
          <w:sz w:val="24"/>
          <w:szCs w:val="24"/>
        </w:rPr>
        <w:t>30%</w:t>
      </w:r>
      <w:r>
        <w:rPr>
          <w:rFonts w:ascii="宋体" w:hAnsi="宋体" w:cs="Times New Roman" w:hint="eastAsia"/>
          <w:sz w:val="24"/>
          <w:szCs w:val="24"/>
        </w:rPr>
        <w:t>；</w:t>
      </w:r>
    </w:p>
    <w:p w14:paraId="60EA1B5C" w14:textId="77777777" w:rsidR="00232224" w:rsidRDefault="00000000">
      <w:pPr>
        <w:pStyle w:val="afc"/>
        <w:numPr>
          <w:ilvl w:val="0"/>
          <w:numId w:val="1"/>
        </w:numPr>
        <w:spacing w:line="360" w:lineRule="auto"/>
        <w:ind w:firstLineChars="200" w:firstLine="480"/>
        <w:rPr>
          <w:rFonts w:ascii="宋体" w:hAnsi="宋体" w:cs="Times New Roman"/>
          <w:sz w:val="24"/>
          <w:szCs w:val="24"/>
        </w:rPr>
      </w:pPr>
      <w:r>
        <w:rPr>
          <w:rFonts w:ascii="宋体" w:hAnsi="宋体" w:cs="Times New Roman" w:hint="eastAsia"/>
          <w:sz w:val="24"/>
          <w:szCs w:val="24"/>
        </w:rPr>
        <w:t>本基金所持有的股票市值和买入、卖出股指期货合约价值，合计（轧差计算）应当符合基金合同关于股票投资比例的有关约定；</w:t>
      </w:r>
    </w:p>
    <w:p w14:paraId="102883A6" w14:textId="77777777" w:rsidR="00232224" w:rsidRDefault="00000000">
      <w:pPr>
        <w:pStyle w:val="afc"/>
        <w:numPr>
          <w:ilvl w:val="0"/>
          <w:numId w:val="1"/>
        </w:numPr>
        <w:spacing w:line="360" w:lineRule="auto"/>
        <w:ind w:firstLineChars="200" w:firstLine="480"/>
        <w:rPr>
          <w:rFonts w:ascii="宋体" w:hAnsi="宋体" w:cs="Times New Roman"/>
          <w:sz w:val="24"/>
          <w:szCs w:val="24"/>
        </w:rPr>
      </w:pPr>
      <w:r>
        <w:rPr>
          <w:rFonts w:ascii="宋体" w:hAnsi="宋体" w:cs="Times New Roman" w:hint="eastAsia"/>
          <w:sz w:val="24"/>
          <w:szCs w:val="24"/>
        </w:rPr>
        <w:t>本基金所持有的债券（不含到期日在一年以内的政府债券）市值和买入、卖出国债期货合约价值，合计（轧差计算）应当符合基金合同关于债券投资比例的有关约定；</w:t>
      </w:r>
    </w:p>
    <w:p w14:paraId="7D4F2801" w14:textId="77777777" w:rsidR="00232224" w:rsidRDefault="00000000">
      <w:pPr>
        <w:pStyle w:val="afc"/>
        <w:numPr>
          <w:ilvl w:val="0"/>
          <w:numId w:val="1"/>
        </w:numPr>
        <w:spacing w:line="360" w:lineRule="auto"/>
        <w:ind w:firstLineChars="200" w:firstLine="480"/>
        <w:rPr>
          <w:rFonts w:ascii="宋体" w:hAnsi="宋体" w:cs="Times New Roman"/>
          <w:sz w:val="24"/>
          <w:szCs w:val="24"/>
        </w:rPr>
      </w:pPr>
      <w:r>
        <w:rPr>
          <w:rFonts w:ascii="宋体" w:hAnsi="宋体" w:cs="Times New Roman" w:hint="eastAsia"/>
          <w:sz w:val="24"/>
          <w:szCs w:val="24"/>
        </w:rPr>
        <w:t>本基金在任何交易日内交易（不包括平仓）的股指期货合约的成交金额不得超过上一交易日基金资产净值的</w:t>
      </w:r>
      <w:r>
        <w:rPr>
          <w:rFonts w:ascii="宋体" w:hAnsi="宋体" w:cs="Times New Roman"/>
          <w:sz w:val="24"/>
          <w:szCs w:val="24"/>
        </w:rPr>
        <w:t>20%</w:t>
      </w:r>
      <w:r>
        <w:rPr>
          <w:rFonts w:ascii="宋体" w:hAnsi="宋体" w:cs="Times New Roman" w:hint="eastAsia"/>
          <w:sz w:val="24"/>
          <w:szCs w:val="24"/>
        </w:rPr>
        <w:t>；</w:t>
      </w:r>
    </w:p>
    <w:p w14:paraId="60BEB11D" w14:textId="7DDCED0D" w:rsidR="00232224" w:rsidRDefault="00000000">
      <w:pPr>
        <w:pStyle w:val="afc"/>
        <w:numPr>
          <w:ilvl w:val="0"/>
          <w:numId w:val="1"/>
        </w:num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rPr>
        <w:t>本基金在任何交易日内交易（不包括平仓）的国债期货合约的成交金额不得超过上一交易日基金资产净值的</w:t>
      </w:r>
      <w:r>
        <w:rPr>
          <w:rFonts w:ascii="宋体" w:hAnsi="宋体" w:cs="Times New Roman"/>
          <w:sz w:val="24"/>
          <w:szCs w:val="24"/>
        </w:rPr>
        <w:t>30%</w:t>
      </w:r>
      <w:r>
        <w:rPr>
          <w:rFonts w:ascii="宋体" w:hAnsi="宋体" w:cs="Times New Roman" w:hint="eastAsia"/>
          <w:sz w:val="24"/>
          <w:szCs w:val="24"/>
        </w:rPr>
        <w:t>；</w:t>
      </w:r>
    </w:p>
    <w:p w14:paraId="4AF899E0" w14:textId="46EE0414"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16</w:t>
      </w:r>
      <w:r>
        <w:rPr>
          <w:rFonts w:ascii="宋体" w:hAnsi="宋体" w:cs="Times New Roman" w:hint="eastAsia"/>
          <w:sz w:val="24"/>
          <w:szCs w:val="24"/>
          <w:highlight w:val="white"/>
        </w:rPr>
        <w:t>）</w:t>
      </w:r>
      <w:r>
        <w:rPr>
          <w:rFonts w:ascii="宋体" w:hAnsi="宋体" w:cs="Times New Roman" w:hint="eastAsia"/>
          <w:sz w:val="24"/>
          <w:szCs w:val="24"/>
        </w:rPr>
        <w:t>本基金投资存托凭证的比例限制依照境内上市交易的股票执行；</w:t>
      </w:r>
    </w:p>
    <w:p w14:paraId="5E56818E" w14:textId="0230ADED"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17</w:t>
      </w:r>
      <w:r>
        <w:rPr>
          <w:rFonts w:ascii="宋体" w:hAnsi="宋体" w:cs="Times New Roman" w:hint="eastAsia"/>
          <w:sz w:val="24"/>
          <w:szCs w:val="24"/>
          <w:highlight w:val="white"/>
        </w:rPr>
        <w:t>）</w:t>
      </w:r>
      <w:r>
        <w:rPr>
          <w:rFonts w:ascii="宋体" w:hAnsi="宋体" w:cs="Times New Roman" w:hint="eastAsia"/>
          <w:sz w:val="24"/>
          <w:szCs w:val="24"/>
        </w:rPr>
        <w:t>法律法规及中国证监会规定的和《基金合同》约定的其他投资限制。</w:t>
      </w:r>
    </w:p>
    <w:p w14:paraId="37B507A4" w14:textId="11AF9805"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除第</w:t>
      </w:r>
      <w:r>
        <w:rPr>
          <w:rFonts w:ascii="宋体" w:hAnsi="宋体" w:cs="Times New Roman"/>
          <w:sz w:val="24"/>
          <w:szCs w:val="24"/>
          <w:highlight w:val="white"/>
        </w:rPr>
        <w:t>2</w:t>
      </w:r>
      <w:r>
        <w:rPr>
          <w:rFonts w:ascii="宋体" w:hAnsi="宋体" w:cs="Times New Roman" w:hint="eastAsia"/>
          <w:sz w:val="24"/>
          <w:szCs w:val="24"/>
          <w:highlight w:val="white"/>
        </w:rPr>
        <w:t>）、</w:t>
      </w:r>
      <w:r>
        <w:rPr>
          <w:rFonts w:ascii="宋体" w:hAnsi="宋体" w:cs="Times New Roman"/>
          <w:sz w:val="24"/>
          <w:szCs w:val="24"/>
          <w:highlight w:val="white"/>
        </w:rPr>
        <w:t>9</w:t>
      </w:r>
      <w:r>
        <w:rPr>
          <w:rFonts w:ascii="宋体" w:hAnsi="宋体" w:cs="Times New Roman" w:hint="eastAsia"/>
          <w:sz w:val="24"/>
          <w:szCs w:val="24"/>
          <w:highlight w:val="white"/>
        </w:rPr>
        <w:t>）、</w:t>
      </w:r>
      <w:r>
        <w:rPr>
          <w:rFonts w:ascii="宋体" w:hAnsi="宋体" w:cs="Times New Roman"/>
          <w:sz w:val="24"/>
          <w:szCs w:val="24"/>
          <w:highlight w:val="white"/>
        </w:rPr>
        <w:t>13</w:t>
      </w:r>
      <w:r>
        <w:rPr>
          <w:rFonts w:ascii="宋体" w:hAnsi="宋体" w:cs="Times New Roman" w:hint="eastAsia"/>
          <w:sz w:val="24"/>
          <w:szCs w:val="24"/>
          <w:highlight w:val="white"/>
        </w:rPr>
        <w:t>）、</w:t>
      </w:r>
      <w:r>
        <w:rPr>
          <w:rFonts w:ascii="宋体" w:hAnsi="宋体" w:cs="Times New Roman"/>
          <w:sz w:val="24"/>
          <w:szCs w:val="24"/>
          <w:highlight w:val="white"/>
        </w:rPr>
        <w:t>14</w:t>
      </w:r>
      <w:r>
        <w:rPr>
          <w:rFonts w:ascii="宋体" w:hAnsi="宋体" w:cs="Times New Roman" w:hint="eastAsia"/>
          <w:sz w:val="24"/>
          <w:szCs w:val="24"/>
          <w:highlight w:val="white"/>
        </w:rPr>
        <w:t>）项外，因证券、期货市场波动、证券发行人合并、基金规模变动等基金管理人之外的因素致使基金投资比例不符合上述规定投资比例的，基金管理人应当在</w:t>
      </w:r>
      <w:r>
        <w:rPr>
          <w:rFonts w:ascii="宋体" w:hAnsi="宋体" w:cs="Times New Roman"/>
          <w:sz w:val="24"/>
          <w:szCs w:val="24"/>
          <w:highlight w:val="white"/>
        </w:rPr>
        <w:t>10</w:t>
      </w:r>
      <w:r>
        <w:rPr>
          <w:rFonts w:ascii="宋体" w:hAnsi="宋体" w:cs="Times New Roman" w:hint="eastAsia"/>
          <w:sz w:val="24"/>
          <w:szCs w:val="24"/>
          <w:highlight w:val="white"/>
        </w:rPr>
        <w:t>个交易日内进行调整，但法律法规或中国证监会规定的特殊情形除外。</w:t>
      </w:r>
    </w:p>
    <w:p w14:paraId="36F2FD5D"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基金管理人应当自基金合同生效之日起</w:t>
      </w:r>
      <w:r>
        <w:rPr>
          <w:rFonts w:ascii="宋体" w:hAnsi="宋体" w:cs="Times New Roman"/>
          <w:sz w:val="24"/>
          <w:szCs w:val="24"/>
          <w:highlight w:val="white"/>
        </w:rPr>
        <w:t>6</w:t>
      </w:r>
      <w:r>
        <w:rPr>
          <w:rFonts w:ascii="宋体" w:hAnsi="宋体" w:cs="Times New Roman" w:hint="eastAsia"/>
          <w:sz w:val="24"/>
          <w:szCs w:val="24"/>
          <w:highlight w:val="white"/>
        </w:rPr>
        <w:t>个月内使基金的投资组合比例符合基金合同的有关约定。在上述期间内，本基金的投资范围、投资策略应当符合基金合同的约定。基金托管人对基金的投资的监督与检查自基金合同生效之日起开始。</w:t>
      </w:r>
    </w:p>
    <w:p w14:paraId="22EEAA02"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rPr>
        <w:t>法律法规或监管部门取消或调整上述限制，如适用于本基金，基金管理人在履行适当程序后，则本基金投资不再受相关限制或按调整后的规定执行，但须提前公告。</w:t>
      </w:r>
    </w:p>
    <w:p w14:paraId="38FCE4AC"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基金托管人依照上述规定对本基金的投资组合限制及调整期限进行监督。</w:t>
      </w:r>
    </w:p>
    <w:p w14:paraId="58DD5B12"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3</w:t>
      </w:r>
      <w:r>
        <w:rPr>
          <w:rFonts w:ascii="宋体" w:hAnsi="宋体" w:cs="Times New Roman" w:hint="eastAsia"/>
          <w:sz w:val="24"/>
          <w:szCs w:val="24"/>
          <w:highlight w:val="white"/>
        </w:rPr>
        <w:t>、基金托管人</w:t>
      </w:r>
      <w:bookmarkStart w:id="20" w:name="OLE_LINK1"/>
      <w:bookmarkEnd w:id="20"/>
      <w:r>
        <w:rPr>
          <w:rFonts w:ascii="宋体" w:hAnsi="宋体" w:cs="Times New Roman" w:hint="eastAsia"/>
          <w:sz w:val="24"/>
          <w:szCs w:val="24"/>
          <w:highlight w:val="white"/>
        </w:rPr>
        <w:t>根据有关法律、法规的规定及基金合同和本协议的约定，对基金投资禁止行为进行监督。基金财产不得用于下列投资或者活动。</w:t>
      </w:r>
    </w:p>
    <w:p w14:paraId="3EFBB168"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w:t>
      </w:r>
      <w:r>
        <w:rPr>
          <w:rFonts w:ascii="宋体" w:hAnsi="宋体" w:cs="Times New Roman"/>
          <w:sz w:val="24"/>
          <w:szCs w:val="24"/>
          <w:highlight w:val="white"/>
        </w:rPr>
        <w:t>1</w:t>
      </w:r>
      <w:r>
        <w:rPr>
          <w:rFonts w:ascii="宋体" w:hAnsi="宋体" w:cs="Times New Roman" w:hint="eastAsia"/>
          <w:sz w:val="24"/>
          <w:szCs w:val="24"/>
          <w:highlight w:val="white"/>
        </w:rPr>
        <w:t>）承销证券；</w:t>
      </w:r>
    </w:p>
    <w:p w14:paraId="58D1C3E3"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lastRenderedPageBreak/>
        <w:t>（</w:t>
      </w:r>
      <w:r>
        <w:rPr>
          <w:rFonts w:ascii="宋体" w:hAnsi="宋体" w:cs="Times New Roman"/>
          <w:sz w:val="24"/>
          <w:szCs w:val="24"/>
          <w:highlight w:val="white"/>
        </w:rPr>
        <w:t>2</w:t>
      </w:r>
      <w:r>
        <w:rPr>
          <w:rFonts w:ascii="宋体" w:hAnsi="宋体" w:cs="Times New Roman" w:hint="eastAsia"/>
          <w:sz w:val="24"/>
          <w:szCs w:val="24"/>
          <w:highlight w:val="white"/>
        </w:rPr>
        <w:t>）违反规定向他人贷款或者提供担保；</w:t>
      </w:r>
    </w:p>
    <w:p w14:paraId="0254C4E5"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w:t>
      </w:r>
      <w:r>
        <w:rPr>
          <w:rFonts w:ascii="宋体" w:hAnsi="宋体" w:cs="Times New Roman"/>
          <w:sz w:val="24"/>
          <w:szCs w:val="24"/>
          <w:highlight w:val="white"/>
        </w:rPr>
        <w:t>3</w:t>
      </w:r>
      <w:r>
        <w:rPr>
          <w:rFonts w:ascii="宋体" w:hAnsi="宋体" w:cs="Times New Roman" w:hint="eastAsia"/>
          <w:sz w:val="24"/>
          <w:szCs w:val="24"/>
          <w:highlight w:val="white"/>
        </w:rPr>
        <w:t>）从事承担无限责任的投资；</w:t>
      </w:r>
    </w:p>
    <w:p w14:paraId="0912281D" w14:textId="77777777" w:rsidR="00232224"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highlight w:val="white"/>
        </w:rPr>
        <w:t>（</w:t>
      </w:r>
      <w:r>
        <w:rPr>
          <w:rFonts w:ascii="宋体" w:hAnsi="宋体" w:cs="Times New Roman"/>
          <w:sz w:val="24"/>
          <w:szCs w:val="24"/>
          <w:highlight w:val="white"/>
        </w:rPr>
        <w:t>4</w:t>
      </w:r>
      <w:r>
        <w:rPr>
          <w:rFonts w:ascii="宋体" w:hAnsi="宋体" w:cs="Times New Roman" w:hint="eastAsia"/>
          <w:sz w:val="24"/>
          <w:szCs w:val="24"/>
          <w:highlight w:val="white"/>
        </w:rPr>
        <w:t>）</w:t>
      </w:r>
      <w:r>
        <w:rPr>
          <w:rFonts w:ascii="宋体" w:hAnsi="宋体" w:cs="Times New Roman" w:hint="eastAsia"/>
          <w:sz w:val="24"/>
          <w:szCs w:val="24"/>
        </w:rPr>
        <w:t>买卖其他基金份额，但是中国证监会另有规定的除外；</w:t>
      </w:r>
    </w:p>
    <w:p w14:paraId="18998661"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rPr>
        <w:t>（5）</w:t>
      </w:r>
      <w:r>
        <w:rPr>
          <w:rFonts w:ascii="宋体" w:hAnsi="宋体" w:cs="Times New Roman" w:hint="eastAsia"/>
          <w:sz w:val="24"/>
          <w:szCs w:val="24"/>
          <w:highlight w:val="white"/>
        </w:rPr>
        <w:t>向其基金管理人、基金托管人出资；</w:t>
      </w:r>
    </w:p>
    <w:p w14:paraId="54C4F74B" w14:textId="1867C046"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w:t>
      </w:r>
      <w:r>
        <w:rPr>
          <w:rFonts w:ascii="宋体" w:hAnsi="宋体" w:cs="Times New Roman"/>
          <w:sz w:val="24"/>
          <w:szCs w:val="24"/>
          <w:highlight w:val="white"/>
        </w:rPr>
        <w:t>6</w:t>
      </w:r>
      <w:r>
        <w:rPr>
          <w:rFonts w:ascii="宋体" w:hAnsi="宋体" w:cs="Times New Roman" w:hint="eastAsia"/>
          <w:sz w:val="24"/>
          <w:szCs w:val="24"/>
          <w:highlight w:val="white"/>
        </w:rPr>
        <w:t>）从事内幕交易、操纵证券交易价格及其他不正当的证券交易活动；</w:t>
      </w:r>
    </w:p>
    <w:p w14:paraId="234FCE74" w14:textId="5F4809B5"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w:t>
      </w:r>
      <w:r>
        <w:rPr>
          <w:rFonts w:ascii="宋体" w:hAnsi="宋体" w:cs="Times New Roman"/>
          <w:sz w:val="24"/>
          <w:szCs w:val="24"/>
          <w:highlight w:val="white"/>
        </w:rPr>
        <w:t>7</w:t>
      </w:r>
      <w:r>
        <w:rPr>
          <w:rFonts w:ascii="宋体" w:hAnsi="宋体" w:cs="Times New Roman" w:hint="eastAsia"/>
          <w:sz w:val="24"/>
          <w:szCs w:val="24"/>
          <w:highlight w:val="white"/>
        </w:rPr>
        <w:t>）法律、行政法规和中国证监会规定禁止的其他活动。</w:t>
      </w:r>
    </w:p>
    <w:p w14:paraId="47AFFDF9"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5AF1E63" w14:textId="69A93B25"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4</w:t>
      </w:r>
      <w:r>
        <w:rPr>
          <w:rFonts w:ascii="宋体" w:hAnsi="宋体" w:cs="Times New Roman" w:hint="eastAsia"/>
          <w:sz w:val="24"/>
          <w:szCs w:val="24"/>
          <w:highlight w:val="white"/>
        </w:rPr>
        <w:t>、</w:t>
      </w:r>
      <w:r>
        <w:rPr>
          <w:rFonts w:ascii="宋体" w:hAnsi="宋体" w:cs="Times New Roman" w:hint="eastAsia"/>
          <w:sz w:val="24"/>
          <w:szCs w:val="24"/>
        </w:rPr>
        <w:t>法律、行政法规或监管部门取消或变更上述禁止性规定，如适用于本基金，基金管理人在履行适当程序后，则本基金投资不再受相关限制或按变更后的规定执行。</w:t>
      </w:r>
    </w:p>
    <w:p w14:paraId="6A2D8924" w14:textId="77777777" w:rsidR="00232224" w:rsidRDefault="00000000">
      <w:pPr>
        <w:spacing w:line="360" w:lineRule="auto"/>
        <w:ind w:firstLineChars="200" w:firstLine="480"/>
        <w:rPr>
          <w:rFonts w:ascii="宋体" w:hAnsi="宋体" w:cs="Times New Roman"/>
          <w:sz w:val="24"/>
          <w:szCs w:val="24"/>
          <w:highlight w:val="white"/>
        </w:rPr>
      </w:pPr>
      <w:bookmarkStart w:id="21" w:name="OLE_LINK4"/>
      <w:bookmarkStart w:id="22" w:name="OLE_LINK2"/>
      <w:bookmarkEnd w:id="21"/>
      <w:bookmarkEnd w:id="22"/>
      <w:r>
        <w:rPr>
          <w:rFonts w:ascii="宋体" w:hAnsi="宋体" w:cs="Times New Roman"/>
          <w:sz w:val="24"/>
          <w:szCs w:val="24"/>
          <w:highlight w:val="white"/>
        </w:rPr>
        <w:t>5</w:t>
      </w:r>
      <w:r>
        <w:rPr>
          <w:rFonts w:ascii="宋体" w:hAnsi="宋体" w:cs="Times New Roman" w:hint="eastAsia"/>
          <w:sz w:val="24"/>
          <w:szCs w:val="24"/>
          <w:highlight w:val="white"/>
        </w:rPr>
        <w:t>、基金托管人根据有关法律、法规规定及基金合同和本协议约定，对基金管理人参与银行间债券市场进行监督。</w:t>
      </w:r>
    </w:p>
    <w:p w14:paraId="7983265A"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基金托管人依据有关法律、法规规定和《基金合同》约定对基金管理人参与银行间市场交易时面临的交易对手资信风险进行监督。</w:t>
      </w:r>
    </w:p>
    <w:p w14:paraId="37635085" w14:textId="19ADE340"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基金托管人不承担未依照更新名单进行监督的责任，由此造成的损失应由基金管理人承担。基金管理人应严格按照交易对手名单的范围在银行间债券市场选择交易对手。基金托管人监督基金管理人是否按事前提供的银行间债券市场交易对手名单进行交易，</w:t>
      </w:r>
      <w:r>
        <w:rPr>
          <w:rFonts w:ascii="宋体" w:hAnsi="宋体" w:cs="Times New Roman" w:hint="eastAsia"/>
          <w:sz w:val="24"/>
          <w:szCs w:val="24"/>
        </w:rPr>
        <w:t>如基金管理人在基金投资运作之前未向基金托管人提供银行间债券市场交易对手名单的，视为基金</w:t>
      </w:r>
      <w:r>
        <w:rPr>
          <w:rFonts w:ascii="宋体" w:hAnsi="宋体" w:cs="Times New Roman" w:hint="eastAsia"/>
          <w:sz w:val="24"/>
          <w:szCs w:val="24"/>
        </w:rPr>
        <w:lastRenderedPageBreak/>
        <w:t>管理人认可全市场交易对手</w:t>
      </w:r>
      <w:r>
        <w:rPr>
          <w:rFonts w:ascii="宋体" w:hAnsi="宋体" w:cs="Times New Roman" w:hint="eastAsia"/>
          <w:sz w:val="24"/>
          <w:szCs w:val="24"/>
          <w:highlight w:val="white"/>
        </w:rPr>
        <w:t>。在基金存续期间基金管理人可以调整交易对手名单，但应将调整结果至少提前一个工作日书面通知基金托管人。新名单确定时已与该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Pr>
          <w:rFonts w:ascii="宋体" w:hAnsi="宋体" w:cs="Times New Roman"/>
          <w:sz w:val="24"/>
          <w:szCs w:val="24"/>
          <w:highlight w:val="white"/>
        </w:rPr>
        <w:t>3</w:t>
      </w:r>
      <w:r>
        <w:rPr>
          <w:rFonts w:ascii="宋体" w:hAnsi="宋体" w:cs="Times New Roman" w:hint="eastAsia"/>
          <w:sz w:val="24"/>
          <w:szCs w:val="24"/>
          <w:highlight w:val="white"/>
        </w:rPr>
        <w:t>个交易</w:t>
      </w:r>
      <w:proofErr w:type="gramStart"/>
      <w:r>
        <w:rPr>
          <w:rFonts w:ascii="宋体" w:hAnsi="宋体" w:cs="Times New Roman" w:hint="eastAsia"/>
          <w:sz w:val="24"/>
          <w:szCs w:val="24"/>
          <w:highlight w:val="white"/>
        </w:rPr>
        <w:t>日内与</w:t>
      </w:r>
      <w:proofErr w:type="gramEnd"/>
      <w:r>
        <w:rPr>
          <w:rFonts w:ascii="宋体" w:hAnsi="宋体" w:cs="Times New Roman" w:hint="eastAsia"/>
          <w:sz w:val="24"/>
          <w:szCs w:val="24"/>
          <w:highlight w:val="white"/>
        </w:rPr>
        <w:t>基金托管人协商解决。基金管理人负责对交易对手的资信调查，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不承担由此造成的相应损失和责任。基金托管人则根据银行间债券市场成交单对合同履行情况进行监督。如基金托管人事后发现基金管理人没有按照事先约定的交易对手进行交易时，基金托管人应及时提醒基金管理人，基金托管人不承担由此造成的相应损失和责任。</w:t>
      </w:r>
    </w:p>
    <w:p w14:paraId="7814C1AD"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6</w:t>
      </w:r>
      <w:r>
        <w:rPr>
          <w:rFonts w:ascii="宋体" w:hAnsi="宋体" w:cs="Times New Roman" w:hint="eastAsia"/>
          <w:sz w:val="24"/>
          <w:szCs w:val="24"/>
          <w:highlight w:val="white"/>
        </w:rPr>
        <w:t>、基金托管人根据有关法律、法规的规定及基金合同和本协议的约定，对基金管理人选择存款银行进行监督。</w:t>
      </w:r>
    </w:p>
    <w:p w14:paraId="4F56EF00" w14:textId="19F28208"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本基金投资银行定期存款的，基金管理人应根据法律法规及基金合同的约定，确定符合条件的所有存款银行名单并及时提供给基金托管人，基金托管人据此对基金投资银行存款的交易对手是否按存款银行名单交易进行监督。基金管理人应严格按照名单范围选择投资对象。基金管理人超越名单范围进行投资的，基金托管人应及时提醒基金管理人，但基金托管人不承担由此造成的赔偿损失和责任。</w:t>
      </w:r>
      <w:r>
        <w:rPr>
          <w:rFonts w:ascii="宋体" w:hAnsi="宋体" w:cs="Times New Roman" w:hint="eastAsia"/>
          <w:sz w:val="24"/>
          <w:szCs w:val="24"/>
        </w:rPr>
        <w:t>如基金管理人在基金投资运作之前未向基金托管人提供存款银行名单的，视为基金管理人认可所有银行。</w:t>
      </w:r>
      <w:r>
        <w:rPr>
          <w:rFonts w:ascii="宋体" w:hAnsi="宋体" w:cs="Times New Roman" w:hint="eastAsia"/>
          <w:sz w:val="24"/>
          <w:szCs w:val="24"/>
          <w:highlight w:val="white"/>
        </w:rPr>
        <w:t>因基金管理人违约或违规行为造成基金财产损失的，相关损失由基金管理人承担，基金托管人不承担相应责任。</w:t>
      </w:r>
    </w:p>
    <w:p w14:paraId="551BB53B"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7</w:t>
      </w:r>
      <w:r>
        <w:rPr>
          <w:rFonts w:ascii="宋体" w:hAnsi="宋体" w:cs="Times New Roman" w:hint="eastAsia"/>
          <w:sz w:val="24"/>
          <w:szCs w:val="24"/>
          <w:highlight w:val="white"/>
        </w:rPr>
        <w:t>、基金托管人根据有关法律法规的规定及《基金合同》的约定，对基金管理人投资流通受限证券进行监督。</w:t>
      </w:r>
    </w:p>
    <w:p w14:paraId="2304774B"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w:t>
      </w:r>
      <w:r>
        <w:rPr>
          <w:rFonts w:ascii="宋体" w:hAnsi="宋体" w:cs="Times New Roman"/>
          <w:sz w:val="24"/>
          <w:szCs w:val="24"/>
          <w:highlight w:val="white"/>
        </w:rPr>
        <w:t>1</w:t>
      </w:r>
      <w:r>
        <w:rPr>
          <w:rFonts w:ascii="宋体" w:hAnsi="宋体" w:cs="Times New Roman" w:hint="eastAsia"/>
          <w:sz w:val="24"/>
          <w:szCs w:val="24"/>
          <w:highlight w:val="white"/>
        </w:rPr>
        <w:t>）基金管理人投资流通受限证券，应遵守《关于基金投资非公开发行股票等流通受限证券有关问题的通知》等有关法律法规规定。</w:t>
      </w:r>
    </w:p>
    <w:p w14:paraId="7D61506F"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w:t>
      </w:r>
      <w:r>
        <w:rPr>
          <w:rFonts w:ascii="宋体" w:hAnsi="宋体" w:cs="Times New Roman"/>
          <w:sz w:val="24"/>
          <w:szCs w:val="24"/>
          <w:highlight w:val="white"/>
        </w:rPr>
        <w:t>2</w:t>
      </w:r>
      <w:r>
        <w:rPr>
          <w:rFonts w:ascii="宋体" w:hAnsi="宋体" w:cs="Times New Roman" w:hint="eastAsia"/>
          <w:sz w:val="24"/>
          <w:szCs w:val="24"/>
          <w:highlight w:val="white"/>
        </w:rPr>
        <w:t>）流通受限证券与上文所述的流动性受限资产并不完全一致，包括由《上市公司证券发行管理办法》规范的非公开发行股票、公开发行股票网下配</w:t>
      </w:r>
      <w:r>
        <w:rPr>
          <w:rFonts w:ascii="宋体" w:hAnsi="宋体" w:cs="Times New Roman" w:hint="eastAsia"/>
          <w:sz w:val="24"/>
          <w:szCs w:val="24"/>
          <w:highlight w:val="white"/>
        </w:rPr>
        <w:lastRenderedPageBreak/>
        <w:t>售部分等在发行时明确一定期限锁定期的可交易证券，不包括由于发布重大消息或其他原因而临时停牌的证券、已发行未上市证券、回购交易中的质押</w:t>
      </w:r>
      <w:proofErr w:type="gramStart"/>
      <w:r>
        <w:rPr>
          <w:rFonts w:ascii="宋体" w:hAnsi="宋体" w:cs="Times New Roman" w:hint="eastAsia"/>
          <w:sz w:val="24"/>
          <w:szCs w:val="24"/>
          <w:highlight w:val="white"/>
        </w:rPr>
        <w:t>券</w:t>
      </w:r>
      <w:proofErr w:type="gramEnd"/>
      <w:r>
        <w:rPr>
          <w:rFonts w:ascii="宋体" w:hAnsi="宋体" w:cs="Times New Roman" w:hint="eastAsia"/>
          <w:sz w:val="24"/>
          <w:szCs w:val="24"/>
          <w:highlight w:val="white"/>
        </w:rPr>
        <w:t>等流通受限证券。</w:t>
      </w:r>
    </w:p>
    <w:p w14:paraId="1957AA83"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w:t>
      </w:r>
      <w:r>
        <w:rPr>
          <w:rFonts w:ascii="宋体" w:hAnsi="宋体" w:cs="Times New Roman"/>
          <w:sz w:val="24"/>
          <w:szCs w:val="24"/>
          <w:highlight w:val="white"/>
        </w:rPr>
        <w:t>3</w:t>
      </w:r>
      <w:r>
        <w:rPr>
          <w:rFonts w:ascii="宋体" w:hAnsi="宋体" w:cs="Times New Roman" w:hint="eastAsia"/>
          <w:sz w:val="24"/>
          <w:szCs w:val="24"/>
          <w:highlight w:val="white"/>
        </w:rPr>
        <w:t>）基金管理人应保证本基金投资的流通受限证券登记存管在本基金名下，并确保基金托管人能够正常查询。因基金管理</w:t>
      </w:r>
      <w:proofErr w:type="gramStart"/>
      <w:r>
        <w:rPr>
          <w:rFonts w:ascii="宋体" w:hAnsi="宋体" w:cs="Times New Roman" w:hint="eastAsia"/>
          <w:sz w:val="24"/>
          <w:szCs w:val="24"/>
          <w:highlight w:val="white"/>
        </w:rPr>
        <w:t>人原因</w:t>
      </w:r>
      <w:proofErr w:type="gramEnd"/>
      <w:r>
        <w:rPr>
          <w:rFonts w:ascii="宋体" w:hAnsi="宋体" w:cs="Times New Roman" w:hint="eastAsia"/>
          <w:sz w:val="24"/>
          <w:szCs w:val="24"/>
          <w:highlight w:val="white"/>
        </w:rPr>
        <w:t>产生的流通受限证券登记存管问题，造成基金托管人无法安全保管本基金资产的责任与损失，及基金财产的损失，由基金管理人承担。</w:t>
      </w:r>
    </w:p>
    <w:p w14:paraId="5335248D" w14:textId="207E40E6"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w:t>
      </w:r>
      <w:r>
        <w:rPr>
          <w:rFonts w:ascii="宋体" w:hAnsi="宋体" w:cs="Times New Roman"/>
          <w:sz w:val="24"/>
          <w:szCs w:val="24"/>
          <w:highlight w:val="white"/>
        </w:rPr>
        <w:t>4</w:t>
      </w:r>
      <w:r>
        <w:rPr>
          <w:rFonts w:ascii="宋体" w:hAnsi="宋体" w:cs="Times New Roman" w:hint="eastAsia"/>
          <w:sz w:val="24"/>
          <w:szCs w:val="24"/>
          <w:highlight w:val="white"/>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投资额度和具体投资比例，避免基金出现流动性风险。上述规章制度经董事会通过之后，基金管理人应至少</w:t>
      </w:r>
      <w:proofErr w:type="gramStart"/>
      <w:r>
        <w:rPr>
          <w:rFonts w:ascii="宋体" w:hAnsi="宋体" w:cs="Times New Roman" w:hint="eastAsia"/>
          <w:sz w:val="24"/>
          <w:szCs w:val="24"/>
          <w:highlight w:val="white"/>
        </w:rPr>
        <w:t>于首次</w:t>
      </w:r>
      <w:proofErr w:type="gramEnd"/>
      <w:r>
        <w:rPr>
          <w:rFonts w:ascii="宋体" w:hAnsi="宋体" w:cs="Times New Roman" w:hint="eastAsia"/>
          <w:sz w:val="24"/>
          <w:szCs w:val="24"/>
          <w:highlight w:val="white"/>
        </w:rPr>
        <w:t>执行投资指令之前</w:t>
      </w:r>
      <w:r>
        <w:rPr>
          <w:rFonts w:ascii="宋体" w:hAnsi="宋体" w:cs="Times New Roman"/>
          <w:sz w:val="24"/>
          <w:szCs w:val="24"/>
          <w:highlight w:val="white"/>
        </w:rPr>
        <w:t>1</w:t>
      </w:r>
      <w:r>
        <w:rPr>
          <w:rFonts w:ascii="宋体" w:hAnsi="宋体" w:cs="Times New Roman" w:hint="eastAsia"/>
          <w:sz w:val="24"/>
          <w:szCs w:val="24"/>
          <w:highlight w:val="white"/>
        </w:rPr>
        <w:t>个工作日将上述规章制度提交给基金托管人</w:t>
      </w:r>
      <w:r>
        <w:rPr>
          <w:rFonts w:ascii="宋体" w:hAnsi="宋体" w:cs="Times New Roman"/>
          <w:sz w:val="24"/>
          <w:szCs w:val="24"/>
          <w:highlight w:val="white"/>
        </w:rPr>
        <w:t>，</w:t>
      </w:r>
      <w:r>
        <w:rPr>
          <w:rFonts w:ascii="宋体" w:hAnsi="宋体" w:cs="Times New Roman" w:hint="eastAsia"/>
          <w:sz w:val="24"/>
          <w:szCs w:val="24"/>
          <w:highlight w:val="white"/>
        </w:rPr>
        <w:t>保证基金托管人有足够的时间进行审核。基金托管人应在收到上述资料后</w:t>
      </w:r>
      <w:r>
        <w:rPr>
          <w:rFonts w:ascii="宋体" w:hAnsi="宋体" w:cs="Times New Roman"/>
          <w:sz w:val="24"/>
          <w:szCs w:val="24"/>
          <w:highlight w:val="white"/>
        </w:rPr>
        <w:t>，</w:t>
      </w:r>
      <w:r>
        <w:rPr>
          <w:rFonts w:ascii="宋体" w:hAnsi="宋体" w:cs="Times New Roman" w:hint="eastAsia"/>
          <w:sz w:val="24"/>
          <w:szCs w:val="24"/>
          <w:highlight w:val="white"/>
        </w:rPr>
        <w:t>以书面或其他双方认可的方式确认收到上述资料。</w:t>
      </w:r>
    </w:p>
    <w:p w14:paraId="38C82192"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w:t>
      </w:r>
      <w:r>
        <w:rPr>
          <w:rFonts w:ascii="宋体" w:hAnsi="宋体" w:cs="Times New Roman"/>
          <w:sz w:val="24"/>
          <w:szCs w:val="24"/>
          <w:highlight w:val="white"/>
        </w:rPr>
        <w:t>5</w:t>
      </w:r>
      <w:r>
        <w:rPr>
          <w:rFonts w:ascii="宋体" w:hAnsi="宋体" w:cs="Times New Roman" w:hint="eastAsia"/>
          <w:sz w:val="24"/>
          <w:szCs w:val="24"/>
          <w:highlight w:val="white"/>
        </w:rPr>
        <w:t>）在投资流通受限证券之前，基金管理人应至少提前</w:t>
      </w:r>
      <w:r>
        <w:rPr>
          <w:rFonts w:ascii="宋体" w:hAnsi="宋体" w:cs="Times New Roman"/>
          <w:sz w:val="24"/>
          <w:szCs w:val="24"/>
          <w:highlight w:val="white"/>
        </w:rPr>
        <w:t>2</w:t>
      </w:r>
      <w:r>
        <w:rPr>
          <w:rFonts w:ascii="宋体" w:hAnsi="宋体" w:cs="Times New Roman" w:hint="eastAsia"/>
          <w:sz w:val="24"/>
          <w:szCs w:val="24"/>
          <w:highlight w:val="white"/>
        </w:rPr>
        <w:t>个工作日向基金托管人提供符合法律法规要求的有关流通受限证券的相关信息，具体应当包括但不限于如下文件（如有）：拟发行数量、定价依据、锁定期、监管机构的批准证明文件复印件、基金管理人与承销商签订的销售协议复印件、缴款通知书、基金拟认购的数量、价格、总成本、总成本占基金资产净值的比例、已持有流通受限证券市值占资产净值的比例、划款账号、划款金额、划款时间文件等。基金管理人应保证上述信息的真实、完整。</w:t>
      </w:r>
    </w:p>
    <w:p w14:paraId="10E75B6F" w14:textId="30CBC564"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w:t>
      </w:r>
      <w:r>
        <w:rPr>
          <w:rFonts w:ascii="宋体" w:hAnsi="宋体" w:cs="Times New Roman"/>
          <w:sz w:val="24"/>
          <w:szCs w:val="24"/>
          <w:highlight w:val="white"/>
        </w:rPr>
        <w:t>6</w:t>
      </w:r>
      <w:r>
        <w:rPr>
          <w:rFonts w:ascii="宋体" w:hAnsi="宋体" w:cs="Times New Roman" w:hint="eastAsia"/>
          <w:sz w:val="24"/>
          <w:szCs w:val="24"/>
          <w:highlight w:val="white"/>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相应责任，并有权报告中国证监会。</w:t>
      </w:r>
    </w:p>
    <w:p w14:paraId="16AB6900"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w:t>
      </w:r>
      <w:r>
        <w:rPr>
          <w:rFonts w:ascii="宋体" w:hAnsi="宋体" w:cs="Times New Roman"/>
          <w:sz w:val="24"/>
          <w:szCs w:val="24"/>
          <w:highlight w:val="white"/>
        </w:rPr>
        <w:t>7</w:t>
      </w:r>
      <w:r>
        <w:rPr>
          <w:rFonts w:ascii="宋体" w:hAnsi="宋体" w:cs="Times New Roman" w:hint="eastAsia"/>
          <w:sz w:val="24"/>
          <w:szCs w:val="24"/>
          <w:highlight w:val="white"/>
        </w:rPr>
        <w:t>）基金托管人依照法律法规、《基金合同》、《托管协议》审核基金管理人投资流通受限证券的行为。如发现基金管理人违反了《基金合同》、《托</w:t>
      </w:r>
      <w:r>
        <w:rPr>
          <w:rFonts w:ascii="宋体" w:hAnsi="宋体" w:cs="Times New Roman" w:hint="eastAsia"/>
          <w:sz w:val="24"/>
          <w:szCs w:val="24"/>
          <w:highlight w:val="white"/>
        </w:rPr>
        <w:lastRenderedPageBreak/>
        <w:t>管协议》以及其他相关法律法规的有关规定，应及时通知基金管理人，并有权呈报中国证监会。基金托管人有权对基金管理人的违法、违规以及违反《基金合同》、《托管协议》的投资指令不予执行，并立即通知基金管理人纠正，基金管理人不予纠正或已代表基金签署合同不得不执行时，基金托管人有权向中国证监会报告。</w:t>
      </w:r>
    </w:p>
    <w:p w14:paraId="48E7D6E7"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w:t>
      </w:r>
      <w:r>
        <w:rPr>
          <w:rFonts w:ascii="宋体" w:hAnsi="宋体" w:cs="Times New Roman"/>
          <w:sz w:val="24"/>
          <w:szCs w:val="24"/>
          <w:highlight w:val="white"/>
        </w:rPr>
        <w:t>8</w:t>
      </w:r>
      <w:r>
        <w:rPr>
          <w:rFonts w:ascii="宋体" w:hAnsi="宋体" w:cs="Times New Roman" w:hint="eastAsia"/>
          <w:sz w:val="24"/>
          <w:szCs w:val="24"/>
          <w:highlight w:val="white"/>
        </w:rPr>
        <w:t>）如果基金管理人未按照本协议的约定向基金托管人报送相关数据或者报送了虚假的数据，导致基金托管人不能履行基金托管人职责的，基金管理人应依法承担相应法律后果。除基金托管人未能依据法律法规、基金合同及本协议约定履行职责外，因投资流通受限证券产生的损失，基金托管人按照本协议履行监督职责后不承担上述损失。</w:t>
      </w:r>
    </w:p>
    <w:p w14:paraId="012C34B6"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w:t>
      </w:r>
      <w:r>
        <w:rPr>
          <w:rFonts w:ascii="宋体" w:hAnsi="宋体" w:cs="Times New Roman"/>
          <w:sz w:val="24"/>
          <w:szCs w:val="24"/>
          <w:highlight w:val="white"/>
        </w:rPr>
        <w:t>9</w:t>
      </w:r>
      <w:r>
        <w:rPr>
          <w:rFonts w:ascii="宋体" w:hAnsi="宋体" w:cs="Times New Roman" w:hint="eastAsia"/>
          <w:sz w:val="24"/>
          <w:szCs w:val="24"/>
          <w:highlight w:val="white"/>
        </w:rPr>
        <w:t>）相关法律法规对基金投资流通受限证券有新规定的，从其规定。</w:t>
      </w:r>
    </w:p>
    <w:p w14:paraId="17EEE6F6" w14:textId="146058B5"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二）基金托管人应根据有关法律、法规的规定及基金合同的约定，对基金资产净值计算、各类基金份额的基金份额净值计算、应收资金到账、基金费用开支及收入确认、基金收益分配、相关信息披露、基金宣传推介材料中登载基金业绩表现数据等进行监督和核查。如果基金管理人未经基金托管人的审核擅自将不实的业绩表现数据印制在宣传推介材料上，</w:t>
      </w:r>
      <w:proofErr w:type="gramStart"/>
      <w:r>
        <w:rPr>
          <w:rFonts w:ascii="宋体" w:hAnsi="宋体" w:cs="Times New Roman" w:hint="eastAsia"/>
          <w:sz w:val="24"/>
          <w:szCs w:val="24"/>
          <w:highlight w:val="white"/>
        </w:rPr>
        <w:t>则基金</w:t>
      </w:r>
      <w:proofErr w:type="gramEnd"/>
      <w:r>
        <w:rPr>
          <w:rFonts w:ascii="宋体" w:hAnsi="宋体" w:cs="Times New Roman" w:hint="eastAsia"/>
          <w:sz w:val="24"/>
          <w:szCs w:val="24"/>
          <w:highlight w:val="white"/>
        </w:rPr>
        <w:t>托管人对此不承担相应责任，并有权在发现后报告中国证监会。</w:t>
      </w:r>
    </w:p>
    <w:p w14:paraId="431F31BA"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三）基金管理人应积极配合和协助基金托管人的监督和核查，在规定时间内答复并改正，就基金托管人的合理疑义进行解释或举证。对基金托管人按照法规要求需向中国证监会报送基金监督报告的，基金管理人应积极配合提供相关数据资料和制度等。</w:t>
      </w:r>
    </w:p>
    <w:p w14:paraId="1EC3810E"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书面通知后应及时核对并以书面形式给基金托管人发出回函，就基金托管人的合理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有权报告中国证监会。</w:t>
      </w:r>
    </w:p>
    <w:p w14:paraId="4D3AB506" w14:textId="77777777" w:rsidR="00232224" w:rsidRDefault="00000000">
      <w:pPr>
        <w:spacing w:line="360" w:lineRule="auto"/>
        <w:ind w:firstLineChars="200" w:firstLine="480"/>
        <w:rPr>
          <w:rFonts w:ascii="宋体" w:hAnsi="宋体" w:cs="Times New Roman"/>
          <w:sz w:val="24"/>
          <w:szCs w:val="24"/>
          <w:highlight w:val="white"/>
        </w:rPr>
      </w:pPr>
      <w:proofErr w:type="gramStart"/>
      <w:r>
        <w:rPr>
          <w:rFonts w:ascii="宋体" w:hAnsi="宋体" w:cs="Times New Roman" w:hint="eastAsia"/>
          <w:sz w:val="24"/>
          <w:szCs w:val="24"/>
          <w:highlight w:val="white"/>
        </w:rPr>
        <w:lastRenderedPageBreak/>
        <w:t>若基金</w:t>
      </w:r>
      <w:proofErr w:type="gramEnd"/>
      <w:r>
        <w:rPr>
          <w:rFonts w:ascii="宋体" w:hAnsi="宋体" w:cs="Times New Roman" w:hint="eastAsia"/>
          <w:sz w:val="24"/>
          <w:szCs w:val="24"/>
          <w:highlight w:val="white"/>
        </w:rPr>
        <w:t>托管人发现基金管理人依据交易程序已经生效的指令违反法律、行政法规和其他有关规定，或者违反《基金合同》约定的，应当立即通知基金管理人进行纠正，由此造成的损失由基金管理人承担，基金托管人在履行其通知义务后，予以免责。</w:t>
      </w:r>
    </w:p>
    <w:p w14:paraId="603F9732"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基金托管人发现基金管理人有重大违规行为，应及时报告中国证监会，同时通知基金管理人限期纠正。基金管理人无正当理由，拒绝、阻挠对方根据本托管协议规定行使监督权，或采取拖延、欺诈等手段妨碍对方进行有效监督，情节严重或经基金托管人提出警告仍不改正的，基金托管人应报告中国证监会。</w:t>
      </w:r>
      <w:bookmarkStart w:id="23" w:name="_Toc125892440"/>
      <w:bookmarkEnd w:id="23"/>
    </w:p>
    <w:p w14:paraId="02984836" w14:textId="77777777" w:rsidR="00232224" w:rsidRDefault="00000000">
      <w:pPr>
        <w:pStyle w:val="112"/>
        <w:spacing w:beforeLines="100" w:before="312" w:beforeAutospacing="0" w:afterLines="50" w:after="156" w:afterAutospacing="0" w:line="360" w:lineRule="auto"/>
        <w:jc w:val="center"/>
        <w:rPr>
          <w:rFonts w:ascii="Times New Roman" w:hAnsi="Times New Roman" w:cs="Times New Roman"/>
          <w:sz w:val="28"/>
        </w:rPr>
      </w:pPr>
      <w:bookmarkStart w:id="24" w:name="_Toc508720682"/>
      <w:bookmarkStart w:id="25" w:name="_Toc105597614"/>
      <w:bookmarkEnd w:id="24"/>
      <w:r>
        <w:rPr>
          <w:rFonts w:ascii="Times New Roman" w:hAnsi="Times New Roman" w:cs="Times New Roman" w:hint="eastAsia"/>
          <w:sz w:val="28"/>
        </w:rPr>
        <w:t>四、基金管理人对基金托管人的业务核查</w:t>
      </w:r>
      <w:bookmarkEnd w:id="25"/>
    </w:p>
    <w:p w14:paraId="2716FA70"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一）根据《基金法》及其他有关法规、《基金合同》和本协议规定，基金管理人对基金托管人履行托管职责的情况进行核查，核查事项包括但不限于基金托管人是否安全保管基金财产、开立基金财产的资金账户、证券账户、债券托管账户</w:t>
      </w:r>
      <w:bookmarkStart w:id="26" w:name="_Hlk7655106"/>
      <w:r>
        <w:rPr>
          <w:rFonts w:ascii="宋体" w:hAnsi="宋体" w:cs="Times New Roman" w:hint="eastAsia"/>
          <w:sz w:val="24"/>
          <w:szCs w:val="24"/>
          <w:highlight w:val="white"/>
        </w:rPr>
        <w:t>、期货结算账户</w:t>
      </w:r>
      <w:bookmarkEnd w:id="26"/>
      <w:r>
        <w:rPr>
          <w:rFonts w:ascii="宋体" w:hAnsi="宋体" w:cs="Times New Roman" w:hint="eastAsia"/>
          <w:sz w:val="24"/>
          <w:szCs w:val="24"/>
          <w:highlight w:val="white"/>
        </w:rPr>
        <w:t>等投资所需账户，是否及时、准确复核基金管理人计算的基金资产净值和各类基金份额的基金份额净值，是否根据基金管理人指令办理清算交收，是否按照法规规定和《基金合同》规定进行相关信息披露和监督基金投资运作等行为。</w:t>
      </w:r>
    </w:p>
    <w:p w14:paraId="379264B8"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（二）基金管理人可以定期（每半年）和不定期地对基金托管人保管的基金资产进行核查。基金托管人应积极配合基金管理人的核查行为，包括但不限于：提交相关资料以</w:t>
      </w:r>
      <w:proofErr w:type="gramStart"/>
      <w:r>
        <w:rPr>
          <w:rFonts w:ascii="宋体" w:hAnsi="宋体" w:cs="Times New Roman" w:hint="eastAsia"/>
          <w:sz w:val="24"/>
          <w:szCs w:val="24"/>
          <w:highlight w:val="white"/>
        </w:rPr>
        <w:t>供基金</w:t>
      </w:r>
      <w:proofErr w:type="gramEnd"/>
      <w:r>
        <w:rPr>
          <w:rFonts w:ascii="宋体" w:hAnsi="宋体" w:cs="Times New Roman" w:hint="eastAsia"/>
          <w:sz w:val="24"/>
          <w:szCs w:val="24"/>
          <w:highlight w:val="white"/>
        </w:rPr>
        <w:t>管理人核查托管财产的完整性和真实性，在规定时间内答复并改正。</w:t>
      </w:r>
    </w:p>
    <w:p w14:paraId="062EC302"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三）基金管理人发现基金托管人未对基金资产实行分账管理、擅自挪用基金资产、未执行或无故延迟执行基金管理人资金划拨指令、泄露基金投资信息等违反《基金法》、《基金合同》、本协议及其他有关规定的，应及时以书面形式通知基金托管人在限期内纠正，基金托管人收到通知后应及时核对并以书面形式对基金管理人发出回函，说明违规原因及纠正期限，并保证在规定期限内及时改正。在限期内，基金管理人有权随时对通知事项进行复查，督促基金托管人改正。基金托管人对基金管理人通知的违规事项未能在限期内纠正的，基金管理人应报告中国证监会。对基金管理人按照法规要求需向中国证监会报</w:t>
      </w:r>
      <w:r>
        <w:rPr>
          <w:rFonts w:ascii="宋体" w:hAnsi="宋体" w:cs="Times New Roman" w:hint="eastAsia"/>
          <w:sz w:val="24"/>
          <w:szCs w:val="24"/>
          <w:highlight w:val="white"/>
        </w:rPr>
        <w:lastRenderedPageBreak/>
        <w:t>送基金监督报告的，基金托管人应积极配合提供相关数据资料和制度等。</w:t>
      </w:r>
    </w:p>
    <w:p w14:paraId="4AFBE73D"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（四）基金管理人发现基金托管人有重大违规行为，应立即报告中国证监会，同时通知基金托管人在限期内纠正。</w:t>
      </w:r>
      <w:bookmarkStart w:id="27" w:name="_Toc466788854"/>
      <w:bookmarkStart w:id="28" w:name="_Toc22454437"/>
      <w:bookmarkStart w:id="29" w:name="_Toc508720683"/>
      <w:bookmarkStart w:id="30" w:name="_Toc523829995"/>
      <w:bookmarkStart w:id="31" w:name="_Toc125892441"/>
      <w:bookmarkEnd w:id="27"/>
      <w:bookmarkEnd w:id="28"/>
      <w:bookmarkEnd w:id="29"/>
      <w:bookmarkEnd w:id="30"/>
      <w:bookmarkEnd w:id="31"/>
    </w:p>
    <w:p w14:paraId="3CE2DBE3" w14:textId="77777777" w:rsidR="00232224" w:rsidRDefault="00000000">
      <w:pPr>
        <w:pStyle w:val="112"/>
        <w:spacing w:beforeLines="100" w:before="312" w:beforeAutospacing="0" w:afterLines="50" w:after="156" w:afterAutospacing="0" w:line="360" w:lineRule="auto"/>
        <w:jc w:val="center"/>
        <w:rPr>
          <w:rFonts w:ascii="Times New Roman" w:hAnsi="Times New Roman" w:cs="Times New Roman"/>
          <w:sz w:val="28"/>
        </w:rPr>
      </w:pPr>
      <w:bookmarkStart w:id="32" w:name="_Toc105597615"/>
      <w:r>
        <w:rPr>
          <w:rFonts w:ascii="Times New Roman" w:hAnsi="Times New Roman" w:cs="Times New Roman" w:hint="eastAsia"/>
          <w:sz w:val="28"/>
        </w:rPr>
        <w:t>五、基金财产的保管</w:t>
      </w:r>
      <w:bookmarkEnd w:id="32"/>
    </w:p>
    <w:p w14:paraId="661A6D4D" w14:textId="77777777" w:rsidR="00232224" w:rsidRDefault="00000000">
      <w:pPr>
        <w:spacing w:line="360" w:lineRule="auto"/>
        <w:ind w:firstLineChars="200" w:firstLine="480"/>
        <w:rPr>
          <w:rFonts w:ascii="宋体" w:hAnsi="宋体" w:cs="Times New Roman"/>
          <w:sz w:val="24"/>
          <w:szCs w:val="24"/>
          <w:highlight w:val="white"/>
        </w:rPr>
      </w:pPr>
      <w:bookmarkStart w:id="33" w:name="_Toc77662997"/>
      <w:bookmarkStart w:id="34" w:name="_Toc37159173"/>
      <w:bookmarkEnd w:id="33"/>
      <w:bookmarkEnd w:id="34"/>
      <w:r>
        <w:rPr>
          <w:rFonts w:ascii="宋体" w:hAnsi="宋体" w:cs="Times New Roman" w:hint="eastAsia"/>
          <w:sz w:val="24"/>
          <w:szCs w:val="24"/>
          <w:highlight w:val="white"/>
        </w:rPr>
        <w:t>（一）基金财产保管的原则</w:t>
      </w:r>
    </w:p>
    <w:p w14:paraId="1EE01B03"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1</w:t>
      </w:r>
      <w:r>
        <w:rPr>
          <w:rFonts w:ascii="宋体" w:hAnsi="宋体" w:cs="Times New Roman" w:hint="eastAsia"/>
          <w:sz w:val="24"/>
          <w:szCs w:val="24"/>
          <w:highlight w:val="white"/>
        </w:rPr>
        <w:t>、基金托管人应安全保管基金财产，未经基金管理人的指令，不得自行运用、处分、分配基金的任何资产。</w:t>
      </w:r>
    </w:p>
    <w:p w14:paraId="1678F51E"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2</w:t>
      </w:r>
      <w:r>
        <w:rPr>
          <w:rFonts w:ascii="宋体" w:hAnsi="宋体" w:cs="Times New Roman" w:hint="eastAsia"/>
          <w:sz w:val="24"/>
          <w:szCs w:val="24"/>
          <w:highlight w:val="white"/>
        </w:rPr>
        <w:t>、基金财产应独立于基金管理人、基金托管人、</w:t>
      </w:r>
      <w:r>
        <w:rPr>
          <w:rFonts w:ascii="宋体" w:hAnsi="宋体" w:cs="Times New Roman" w:hint="eastAsia"/>
          <w:sz w:val="24"/>
          <w:szCs w:val="24"/>
        </w:rPr>
        <w:t>证券经纪机构</w:t>
      </w:r>
      <w:r>
        <w:rPr>
          <w:rFonts w:ascii="宋体" w:hAnsi="宋体" w:cs="Times New Roman" w:hint="eastAsia"/>
          <w:sz w:val="24"/>
          <w:szCs w:val="24"/>
          <w:highlight w:val="white"/>
        </w:rPr>
        <w:t>的固有财产。</w:t>
      </w:r>
    </w:p>
    <w:p w14:paraId="39604E20"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3</w:t>
      </w:r>
      <w:r>
        <w:rPr>
          <w:rFonts w:ascii="宋体" w:hAnsi="宋体" w:cs="Times New Roman" w:hint="eastAsia"/>
          <w:sz w:val="24"/>
          <w:szCs w:val="24"/>
          <w:highlight w:val="white"/>
        </w:rPr>
        <w:t>、基金托管人按照规定开立基金财产的资金账户、证券账户、债券托管账户、期货结算账户等投资所需账户。</w:t>
      </w:r>
    </w:p>
    <w:p w14:paraId="3EA1ED61"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4</w:t>
      </w:r>
      <w:r>
        <w:rPr>
          <w:rFonts w:ascii="宋体" w:hAnsi="宋体" w:cs="Times New Roman" w:hint="eastAsia"/>
          <w:sz w:val="24"/>
          <w:szCs w:val="24"/>
          <w:highlight w:val="white"/>
        </w:rPr>
        <w:t>、基金托管人对所托管的不同基金财产分别设置账户，与基金托管人的其他业务和其他基金的托管业务实行严格的分账管理，</w:t>
      </w:r>
      <w:r>
        <w:rPr>
          <w:rFonts w:ascii="宋体" w:hAnsi="宋体" w:cs="Times New Roman" w:hint="eastAsia"/>
          <w:sz w:val="24"/>
          <w:szCs w:val="24"/>
        </w:rPr>
        <w:t>独立核算，</w:t>
      </w:r>
      <w:r>
        <w:rPr>
          <w:rFonts w:ascii="宋体" w:hAnsi="宋体" w:cs="Times New Roman" w:hint="eastAsia"/>
          <w:sz w:val="24"/>
          <w:szCs w:val="24"/>
          <w:highlight w:val="white"/>
        </w:rPr>
        <w:t>确保基金财产的完整和独立。</w:t>
      </w:r>
    </w:p>
    <w:p w14:paraId="651C6E37" w14:textId="4F37E741"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5</w:t>
      </w:r>
      <w:r>
        <w:rPr>
          <w:rFonts w:ascii="宋体" w:hAnsi="宋体" w:cs="Times New Roman" w:hint="eastAsia"/>
          <w:sz w:val="24"/>
          <w:szCs w:val="24"/>
          <w:highlight w:val="white"/>
        </w:rPr>
        <w:t>、对于因为基金投资产生的应收资产和基金申购过程中产生的应收资产，如基金托管人无法从公开信息或基金管理人提供的书面资料中获取到账日期信息的，应由基金管理人负责与有关当事人确定到账日期并通知基金托管人，到账日基金资产没有到达基金银行存款账户的，基金托管人应及时通知基金管理人采取措施进行催收。由此给基金资产造成损失的，基金管理人应负责向有关当事人追偿基金资产的损失。</w:t>
      </w:r>
      <w:bookmarkStart w:id="35" w:name="_Toc37159174"/>
      <w:bookmarkStart w:id="36" w:name="_Toc77662998"/>
      <w:bookmarkEnd w:id="35"/>
      <w:bookmarkEnd w:id="36"/>
      <w:r>
        <w:rPr>
          <w:rFonts w:ascii="宋体" w:hAnsi="宋体" w:cs="Times New Roman" w:hint="eastAsia"/>
          <w:sz w:val="24"/>
          <w:szCs w:val="24"/>
          <w:highlight w:val="white"/>
        </w:rPr>
        <w:t>基金托管人对此不承担相应责任。</w:t>
      </w:r>
    </w:p>
    <w:p w14:paraId="0EBD14DE" w14:textId="2EAF77BD"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6</w:t>
      </w:r>
      <w:r>
        <w:rPr>
          <w:rFonts w:ascii="宋体" w:hAnsi="宋体" w:cs="Times New Roman" w:hint="eastAsia"/>
          <w:sz w:val="24"/>
          <w:szCs w:val="24"/>
          <w:highlight w:val="white"/>
        </w:rPr>
        <w:t>、基金托管人根据基金管理人的指令，按照基金合同和本协议的约定保管基金资产。不属于基金托管人实际有效控制下的资产及实物证券等在基金托管人保管期间的损坏、灭失，基金托管人不承担由此产生的责任。</w:t>
      </w:r>
    </w:p>
    <w:p w14:paraId="06D636CF"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基金托管人对因为基金管理人投资产生的存放或存管在基金托管人以外机构的基金资产，或交由期货公司或证券公司负责清算交收的基金资产（包括但不限于证券类基金资产和期货保证金账户内的资金、期货合约等）及其收益，由于该等机构或该机构会员单位等本协议当事人外第三方的欺诈、疏忽、过失或破产等原因给基金资产造成的损失等不承担责任。</w:t>
      </w:r>
    </w:p>
    <w:p w14:paraId="6301527A" w14:textId="1C91604F"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7</w:t>
      </w:r>
      <w:r>
        <w:rPr>
          <w:rFonts w:ascii="宋体" w:hAnsi="宋体" w:cs="Times New Roman" w:hint="eastAsia"/>
          <w:sz w:val="24"/>
          <w:szCs w:val="24"/>
          <w:highlight w:val="white"/>
        </w:rPr>
        <w:t>、除依据法律法规和《基金合同》的规定外，基金托管人不得委托第三人</w:t>
      </w:r>
      <w:r>
        <w:rPr>
          <w:rFonts w:ascii="宋体" w:hAnsi="宋体" w:cs="Times New Roman" w:hint="eastAsia"/>
          <w:sz w:val="24"/>
          <w:szCs w:val="24"/>
          <w:highlight w:val="white"/>
        </w:rPr>
        <w:lastRenderedPageBreak/>
        <w:t>托管基金资产。</w:t>
      </w:r>
    </w:p>
    <w:p w14:paraId="44C603C3"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（二）基金合同生效时募集资产的验证</w:t>
      </w:r>
    </w:p>
    <w:p w14:paraId="7B8B29D3"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基金募集期间募集的资金应存于基金募集专用账户。该账户由基金管理人或基金管理人委托的登记机构开立并管理。</w:t>
      </w:r>
    </w:p>
    <w:p w14:paraId="24D089A0" w14:textId="37D614EB"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基金募集期满或基金管理人依据法律法规及招募说明书决定停止基金发售，募集的基金份额总额、基金募集金额、基金份额持有人人数符合《基金法》、《运作办法》等有关规定后，基金管理人应将募集到的属于基金财产的全部资金划入基金托管人为本基金开立的基金托管账户，同时在规定时间内，聘请符合《中华人民共和国证券法》规定的会计师事务所进行验资，出具验资报告。基金托管人在收到资金当日出具相关证明文件。</w:t>
      </w:r>
      <w:bookmarkStart w:id="37" w:name="_Toc37159176"/>
      <w:bookmarkStart w:id="38" w:name="_Toc77663000"/>
      <w:bookmarkEnd w:id="37"/>
      <w:bookmarkEnd w:id="38"/>
    </w:p>
    <w:p w14:paraId="6F3C9045" w14:textId="77777777" w:rsidR="00232224" w:rsidRDefault="00000000">
      <w:pPr>
        <w:spacing w:line="360" w:lineRule="auto"/>
        <w:ind w:firstLineChars="200" w:firstLine="480"/>
        <w:rPr>
          <w:rFonts w:ascii="宋体" w:hAnsi="宋体" w:cs="Times New Roman"/>
          <w:sz w:val="24"/>
          <w:szCs w:val="24"/>
          <w:highlight w:val="white"/>
        </w:rPr>
      </w:pPr>
      <w:proofErr w:type="gramStart"/>
      <w:r>
        <w:rPr>
          <w:rFonts w:ascii="宋体" w:hAnsi="宋体" w:cs="Times New Roman" w:hint="eastAsia"/>
          <w:sz w:val="24"/>
          <w:szCs w:val="24"/>
          <w:highlight w:val="white"/>
        </w:rPr>
        <w:t>若基金</w:t>
      </w:r>
      <w:proofErr w:type="gramEnd"/>
      <w:r>
        <w:rPr>
          <w:rFonts w:ascii="宋体" w:hAnsi="宋体" w:cs="Times New Roman" w:hint="eastAsia"/>
          <w:sz w:val="24"/>
          <w:szCs w:val="24"/>
          <w:highlight w:val="white"/>
        </w:rPr>
        <w:t>募集期限届满，未能达到《基金合同》生效的条件，由基金管理人按规定办理退款等事宜。</w:t>
      </w:r>
    </w:p>
    <w:p w14:paraId="01779C69"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（三）基金的银行存款账户的开立和管理</w:t>
      </w:r>
    </w:p>
    <w:p w14:paraId="64B806A3"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1</w:t>
      </w:r>
      <w:r>
        <w:rPr>
          <w:rFonts w:ascii="宋体" w:hAnsi="宋体" w:cs="Times New Roman" w:hint="eastAsia"/>
          <w:sz w:val="24"/>
          <w:szCs w:val="24"/>
          <w:highlight w:val="white"/>
        </w:rPr>
        <w:t>、基金托管人应负责本基金银行存款账户（即托管账户）的开立和管理。</w:t>
      </w:r>
    </w:p>
    <w:p w14:paraId="02E398A6"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2</w:t>
      </w:r>
      <w:r>
        <w:rPr>
          <w:rFonts w:ascii="宋体" w:hAnsi="宋体" w:cs="Times New Roman" w:hint="eastAsia"/>
          <w:sz w:val="24"/>
          <w:szCs w:val="24"/>
          <w:highlight w:val="white"/>
        </w:rPr>
        <w:t>、基金托管人以本基金的名义在具有托管业务资格的商业银行开立基金的银行存款账户，根据基金管理人合法合</w:t>
      </w:r>
      <w:proofErr w:type="gramStart"/>
      <w:r>
        <w:rPr>
          <w:rFonts w:ascii="宋体" w:hAnsi="宋体" w:cs="Times New Roman" w:hint="eastAsia"/>
          <w:sz w:val="24"/>
          <w:szCs w:val="24"/>
          <w:highlight w:val="white"/>
        </w:rPr>
        <w:t>规</w:t>
      </w:r>
      <w:proofErr w:type="gramEnd"/>
      <w:r>
        <w:rPr>
          <w:rFonts w:ascii="宋体" w:hAnsi="宋体" w:cs="Times New Roman" w:hint="eastAsia"/>
          <w:sz w:val="24"/>
          <w:szCs w:val="24"/>
          <w:highlight w:val="white"/>
        </w:rPr>
        <w:t>的指令办理资金收付并根据中国人民银行规定计息。本基金的银行预留印鉴由基金托管</w:t>
      </w:r>
      <w:proofErr w:type="gramStart"/>
      <w:r>
        <w:rPr>
          <w:rFonts w:ascii="宋体" w:hAnsi="宋体" w:cs="Times New Roman" w:hint="eastAsia"/>
          <w:sz w:val="24"/>
          <w:szCs w:val="24"/>
          <w:highlight w:val="white"/>
        </w:rPr>
        <w:t>人制</w:t>
      </w:r>
      <w:proofErr w:type="gramEnd"/>
      <w:r>
        <w:rPr>
          <w:rFonts w:ascii="宋体" w:hAnsi="宋体" w:cs="Times New Roman" w:hint="eastAsia"/>
          <w:sz w:val="24"/>
          <w:szCs w:val="24"/>
          <w:highlight w:val="white"/>
        </w:rPr>
        <w:t>作、保管和使用。本基金</w:t>
      </w:r>
      <w:r>
        <w:rPr>
          <w:rFonts w:ascii="宋体" w:hAnsi="宋体" w:cs="Times New Roman" w:hint="eastAsia"/>
          <w:sz w:val="24"/>
          <w:szCs w:val="24"/>
        </w:rPr>
        <w:t>除证券交易所场内交易以外</w:t>
      </w:r>
      <w:r>
        <w:rPr>
          <w:rFonts w:ascii="宋体" w:hAnsi="宋体" w:cs="Times New Roman" w:hint="eastAsia"/>
          <w:sz w:val="24"/>
          <w:szCs w:val="24"/>
          <w:highlight w:val="white"/>
        </w:rPr>
        <w:t>的一切货币收支活动，包括但不限于投资、支付赎回金额、支付基金收益、收取申购款，均需通过本基金的银行存款账户进行。</w:t>
      </w:r>
    </w:p>
    <w:p w14:paraId="7063D9CA"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3</w:t>
      </w:r>
      <w:r>
        <w:rPr>
          <w:rFonts w:ascii="宋体" w:hAnsi="宋体" w:cs="Times New Roman" w:hint="eastAsia"/>
          <w:sz w:val="24"/>
          <w:szCs w:val="24"/>
          <w:highlight w:val="white"/>
        </w:rPr>
        <w:t>、本基金银行存款账户的开立和使用，限于满足开展本基金业务的需要。基金托管人和基金管理人不得假借本基金的名义开立其他任何银行存款账户；亦不得使用基金的任何银行存款账户进行本基金业务以外的活动。</w:t>
      </w:r>
    </w:p>
    <w:p w14:paraId="41A71126"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4</w:t>
      </w:r>
      <w:r>
        <w:rPr>
          <w:rFonts w:ascii="宋体" w:hAnsi="宋体" w:cs="Times New Roman" w:hint="eastAsia"/>
          <w:sz w:val="24"/>
          <w:szCs w:val="24"/>
          <w:highlight w:val="white"/>
        </w:rPr>
        <w:t>、基金托管人可以通过申请开通本基金银行账户的企业网上银行业务进行资金支付，并使用企业网上银行（简称“网银”）办理托管资产的资金结算汇划业务。</w:t>
      </w:r>
    </w:p>
    <w:p w14:paraId="4149A576"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5</w:t>
      </w:r>
      <w:r>
        <w:rPr>
          <w:rFonts w:ascii="宋体" w:hAnsi="宋体" w:cs="Times New Roman" w:hint="eastAsia"/>
          <w:sz w:val="24"/>
          <w:szCs w:val="24"/>
          <w:highlight w:val="white"/>
        </w:rPr>
        <w:t>、基金银行存款账户的管理应符合法律、法规以及银行业监督管理机构的其他规定。</w:t>
      </w:r>
      <w:bookmarkStart w:id="39" w:name="_Toc77663001"/>
      <w:bookmarkStart w:id="40" w:name="_Toc37159177"/>
      <w:bookmarkEnd w:id="39"/>
      <w:bookmarkEnd w:id="40"/>
    </w:p>
    <w:p w14:paraId="415D84B9" w14:textId="16A5308A"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（四）基金证券账户和</w:t>
      </w:r>
      <w:r>
        <w:rPr>
          <w:rFonts w:ascii="宋体" w:hAnsi="宋体" w:cs="Times New Roman" w:hint="eastAsia"/>
          <w:sz w:val="24"/>
          <w:szCs w:val="24"/>
        </w:rPr>
        <w:t>证券交易资金账户</w:t>
      </w:r>
      <w:r>
        <w:rPr>
          <w:rFonts w:ascii="宋体" w:hAnsi="宋体" w:cs="Times New Roman" w:hint="eastAsia"/>
          <w:sz w:val="24"/>
          <w:szCs w:val="24"/>
          <w:highlight w:val="white"/>
        </w:rPr>
        <w:t>的开立和管理</w:t>
      </w:r>
    </w:p>
    <w:p w14:paraId="3BB9736A"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1</w:t>
      </w:r>
      <w:r>
        <w:rPr>
          <w:rFonts w:ascii="宋体" w:hAnsi="宋体" w:cs="Times New Roman" w:hint="eastAsia"/>
          <w:sz w:val="24"/>
          <w:szCs w:val="24"/>
          <w:highlight w:val="white"/>
        </w:rPr>
        <w:t>、基金托管人应当在中国证券登记结算有限责任公司（以下简称“中登公</w:t>
      </w:r>
      <w:r>
        <w:rPr>
          <w:rFonts w:ascii="宋体" w:hAnsi="宋体" w:cs="Times New Roman" w:hint="eastAsia"/>
          <w:sz w:val="24"/>
          <w:szCs w:val="24"/>
          <w:highlight w:val="white"/>
        </w:rPr>
        <w:lastRenderedPageBreak/>
        <w:t>司”）开设证券账户，用于本基金证券投资的清算和存管，基金管理人应当在开户过程中给予必要的配合，并提供所需资料。证券账户的持有人名称应当符合证券登记结算机构的有关规定。</w:t>
      </w:r>
    </w:p>
    <w:p w14:paraId="548D8AEA"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2</w:t>
      </w:r>
      <w:r>
        <w:rPr>
          <w:rFonts w:ascii="宋体" w:hAnsi="宋体" w:cs="Times New Roman" w:hint="eastAsia"/>
          <w:sz w:val="24"/>
          <w:szCs w:val="24"/>
          <w:highlight w:val="white"/>
        </w:rPr>
        <w:t>、本基金证券账户的开立和使用，限于满足开展本基金业务的需要。基金托管人和基金管理人不得出借和未经另一方同意擅自转让本基金的任何证券账户；亦不得使用本基金的任何证券账户进行本基金业务以外的活动。</w:t>
      </w:r>
    </w:p>
    <w:p w14:paraId="551711F1"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3</w:t>
      </w:r>
      <w:r>
        <w:rPr>
          <w:rFonts w:ascii="宋体" w:hAnsi="宋体" w:cs="Times New Roman" w:hint="eastAsia"/>
          <w:sz w:val="24"/>
          <w:szCs w:val="24"/>
          <w:highlight w:val="white"/>
        </w:rPr>
        <w:t>、本基金证券账户的开立由基金托管人负责，证券账户卡的保管由基金托管人负责，相关账户的管理和使用由基金管理人负责。</w:t>
      </w:r>
    </w:p>
    <w:p w14:paraId="711829B5"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4</w:t>
      </w:r>
      <w:r>
        <w:rPr>
          <w:rFonts w:ascii="宋体" w:hAnsi="宋体" w:cs="Times New Roman" w:hint="eastAsia"/>
          <w:sz w:val="24"/>
          <w:szCs w:val="24"/>
          <w:highlight w:val="white"/>
        </w:rPr>
        <w:t>、基金管理人负责以基金名义在证券经纪机构的营业网点开立证券交易资金账户，并按照证券经纪机构营业网点开户的流程和要求，签订相关的协议，并办理三方存管，在基金运作期间，未经基金托管人书面同意，基金管理人不得变更证券交易资金账户与托管账户之间的第三方存管签约关系。基金托管人应根据基金管理人或其委托的第三方的指令，进行银证转账的操作。因基金管理人自行进行银证转账等业务操作导致的一切后果，均由基金管理人自行承担，与基金托管人无关。</w:t>
      </w:r>
    </w:p>
    <w:p w14:paraId="4704F8D1" w14:textId="77777777" w:rsidR="00232224" w:rsidRDefault="00000000">
      <w:pPr>
        <w:spacing w:line="360" w:lineRule="auto"/>
        <w:ind w:firstLineChars="200" w:firstLine="480"/>
        <w:rPr>
          <w:rFonts w:ascii="宋体" w:hAnsi="宋体" w:cs="Times New Roman"/>
          <w:sz w:val="24"/>
          <w:szCs w:val="24"/>
          <w:highlight w:val="white"/>
        </w:rPr>
      </w:pPr>
      <w:bookmarkStart w:id="41" w:name="_Toc37159179"/>
      <w:bookmarkStart w:id="42" w:name="_Toc77663003"/>
      <w:bookmarkEnd w:id="41"/>
      <w:bookmarkEnd w:id="42"/>
      <w:r>
        <w:rPr>
          <w:rFonts w:ascii="宋体" w:hAnsi="宋体" w:cs="Times New Roman" w:hint="eastAsia"/>
          <w:sz w:val="24"/>
          <w:szCs w:val="24"/>
          <w:highlight w:val="white"/>
        </w:rPr>
        <w:t>（五）债券托管账户的开立和管理</w:t>
      </w:r>
    </w:p>
    <w:p w14:paraId="24CA51B4"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1</w:t>
      </w:r>
      <w:r>
        <w:rPr>
          <w:rFonts w:ascii="宋体" w:hAnsi="宋体" w:cs="Times New Roman" w:hint="eastAsia"/>
          <w:sz w:val="24"/>
          <w:szCs w:val="24"/>
          <w:highlight w:val="white"/>
        </w:rPr>
        <w:t>、募集资金经验资后，由基金管理人向中国人民银行进行报备。基金托管人负责在中央国债登记结算有限责任公司及银行间市场清算所股份有限公司以本基金的名义开立债券托管账户，并由基金托管人负责基金的债券及资金的清算。基金管理人负责申请基金进入全国银行间同业拆借市场进行交易，由基金管理人在中国外汇交易中心开设同业拆借市场交易账户。</w:t>
      </w:r>
    </w:p>
    <w:p w14:paraId="00AD2FD3"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2</w:t>
      </w:r>
      <w:r>
        <w:rPr>
          <w:rFonts w:ascii="宋体" w:hAnsi="宋体" w:cs="Times New Roman" w:hint="eastAsia"/>
          <w:sz w:val="24"/>
          <w:szCs w:val="24"/>
          <w:highlight w:val="white"/>
        </w:rPr>
        <w:t>、基金管理人代表基金签订全国银行间债券市场债券回购交易主协议。</w:t>
      </w:r>
    </w:p>
    <w:p w14:paraId="0F10656E"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（六）其他账户的开立和管理</w:t>
      </w:r>
    </w:p>
    <w:p w14:paraId="030FF426"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若中国证监会或其他监管机构在本托管协议订立日之后允许基金从事其他投资品种的投资业务，涉及相关账户的开立、使用的，由基金管理人协助基金托管人根据有关法律、法规的规定和《基金合同》的约定，开立有关账户。该账户按有关规则使用并管理。</w:t>
      </w:r>
    </w:p>
    <w:p w14:paraId="161603DA"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法律法规等有关规定对相关账户的开立和管理另有规定的，从其规定办理。</w:t>
      </w:r>
    </w:p>
    <w:p w14:paraId="659E7A34"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（七）基金财产投资的有关实物证券、银行存款定期存单等有价凭证的保</w:t>
      </w:r>
      <w:r>
        <w:rPr>
          <w:rFonts w:ascii="宋体" w:hAnsi="宋体" w:cs="Times New Roman" w:hint="eastAsia"/>
          <w:sz w:val="24"/>
          <w:szCs w:val="24"/>
          <w:highlight w:val="white"/>
        </w:rPr>
        <w:lastRenderedPageBreak/>
        <w:t>管</w:t>
      </w:r>
    </w:p>
    <w:p w14:paraId="0BC31857"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实物证券由基金托管人存放于基金托管人或其他基金管理人与基金托管人协商一致的第三方机构的保管库，保管凭证由基金托管人持有。实物证券的购买和转让，由基金托管人根据基金管理人的指令办理。基金托管人对由基金托管人以外机构实际有效控制的本基金资产不承担保管责任。</w:t>
      </w:r>
    </w:p>
    <w:p w14:paraId="56896B90"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银行存款定期存单等有价凭证由基金托管人负责保管。</w:t>
      </w:r>
    </w:p>
    <w:p w14:paraId="70F068B9" w14:textId="77777777" w:rsidR="00232224" w:rsidRDefault="00000000">
      <w:pPr>
        <w:spacing w:line="360" w:lineRule="auto"/>
        <w:ind w:firstLineChars="200" w:firstLine="480"/>
        <w:rPr>
          <w:rFonts w:ascii="宋体" w:hAnsi="宋体" w:cs="Times New Roman"/>
          <w:sz w:val="24"/>
          <w:szCs w:val="24"/>
          <w:highlight w:val="white"/>
        </w:rPr>
      </w:pPr>
      <w:bookmarkStart w:id="43" w:name="_Toc37159180"/>
      <w:bookmarkStart w:id="44" w:name="_Toc77663004"/>
      <w:bookmarkEnd w:id="43"/>
      <w:bookmarkEnd w:id="44"/>
      <w:r>
        <w:rPr>
          <w:rFonts w:ascii="宋体" w:hAnsi="宋体" w:cs="Times New Roman" w:hint="eastAsia"/>
          <w:sz w:val="24"/>
          <w:szCs w:val="24"/>
          <w:highlight w:val="white"/>
        </w:rPr>
        <w:t>（八）与基金财产有关的重大合同的保管</w:t>
      </w:r>
    </w:p>
    <w:p w14:paraId="51EE733F"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由基金管理人代表基金签署的与基金有关的重大合同的原件分别由基金托管人、基金管理人保管，相关业务程序另有限制除外。除本协议另有规定外，基金管理人在代基金签署与基金有关的重大合同时应尽可能保证基金一方持有二份及以上的正本，以便基金管理人和基金托管人至少各持有一份正本的原件，基金管理人在合同签署后</w:t>
      </w:r>
      <w:r>
        <w:rPr>
          <w:rFonts w:ascii="宋体" w:hAnsi="宋体" w:cs="Times New Roman"/>
          <w:sz w:val="24"/>
          <w:szCs w:val="24"/>
          <w:highlight w:val="white"/>
        </w:rPr>
        <w:t>15</w:t>
      </w:r>
      <w:r>
        <w:rPr>
          <w:rFonts w:ascii="宋体" w:hAnsi="宋体" w:cs="Times New Roman" w:hint="eastAsia"/>
          <w:sz w:val="24"/>
          <w:szCs w:val="24"/>
          <w:highlight w:val="white"/>
        </w:rPr>
        <w:t>个工作日内通过专人送达、挂号邮寄等安全方式将合同原件送达基金托管人处。合同的保管期限按照国家有关规定执行。</w:t>
      </w:r>
    </w:p>
    <w:p w14:paraId="43C82369"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对于无法取得二份以上的正本的，基金管理人应向基金托管人提供与原件核对一致后加盖授权业务章的合同传真件，未经双方协商或未在合同约定范围内，合同原件不得转移。</w:t>
      </w:r>
    </w:p>
    <w:p w14:paraId="70033FB8"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因基金管理人未按本协议约定及时向基金托管人送达重大合同原件或传真件导致的法律责任，基金托管人不予承担。</w:t>
      </w:r>
      <w:bookmarkStart w:id="45" w:name="_Toc523829996"/>
      <w:bookmarkStart w:id="46" w:name="_Toc466788855"/>
      <w:bookmarkStart w:id="47" w:name="_Toc508720684"/>
      <w:bookmarkStart w:id="48" w:name="_Toc125892442"/>
      <w:bookmarkEnd w:id="45"/>
      <w:bookmarkEnd w:id="46"/>
      <w:bookmarkEnd w:id="47"/>
      <w:bookmarkEnd w:id="48"/>
    </w:p>
    <w:p w14:paraId="47B0681C" w14:textId="77777777" w:rsidR="00232224" w:rsidRDefault="00000000">
      <w:pPr>
        <w:pStyle w:val="112"/>
        <w:spacing w:beforeLines="100" w:before="312" w:beforeAutospacing="0" w:afterLines="50" w:after="156" w:afterAutospacing="0" w:line="360" w:lineRule="auto"/>
        <w:jc w:val="center"/>
        <w:rPr>
          <w:rFonts w:ascii="Times New Roman" w:hAnsi="Times New Roman" w:cs="Times New Roman"/>
          <w:sz w:val="28"/>
        </w:rPr>
      </w:pPr>
      <w:bookmarkStart w:id="49" w:name="_Toc105597616"/>
      <w:r>
        <w:rPr>
          <w:rFonts w:ascii="Times New Roman" w:hAnsi="Times New Roman" w:cs="Times New Roman" w:hint="eastAsia"/>
          <w:sz w:val="28"/>
        </w:rPr>
        <w:t>六、指令的发送、确认和执行</w:t>
      </w:r>
      <w:bookmarkEnd w:id="49"/>
    </w:p>
    <w:p w14:paraId="5596D429" w14:textId="77777777" w:rsidR="00232224" w:rsidRDefault="00000000">
      <w:pPr>
        <w:spacing w:line="360" w:lineRule="auto"/>
        <w:ind w:firstLineChars="200" w:firstLine="480"/>
        <w:rPr>
          <w:rFonts w:ascii="宋体" w:hAnsi="宋体" w:cs="Times New Roman"/>
          <w:sz w:val="24"/>
          <w:szCs w:val="24"/>
          <w:highlight w:val="white"/>
        </w:rPr>
      </w:pPr>
      <w:bookmarkStart w:id="50" w:name="_Toc77663006"/>
      <w:bookmarkEnd w:id="50"/>
      <w:r>
        <w:rPr>
          <w:rFonts w:ascii="宋体" w:hAnsi="宋体" w:cs="Times New Roman" w:hint="eastAsia"/>
          <w:sz w:val="24"/>
          <w:szCs w:val="24"/>
          <w:highlight w:val="white"/>
        </w:rPr>
        <w:t>基金管理人在运用基金财产时向基金托管人发送资金划拨及其他款项收付指令，基金托管人执行基金管理人的指令、办理基金名下的资金往来等有关事项。基金管理人发送指令应采用电子指令或邮件或传真或电子服务平台等其它双方共同确认的方式。</w:t>
      </w:r>
    </w:p>
    <w:p w14:paraId="16560882"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基金管理人直接通过基金托管人电子服务平台发送电子划款指令的，基金管理人应向基金托管人提供授权文件等相关材料，由基金托管人为基金管理人的被授权人在电子服务平台配置相关操作权限。</w:t>
      </w:r>
    </w:p>
    <w:p w14:paraId="7D910E02"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（一）基金管理人对发送指令人员的书面授权</w:t>
      </w:r>
    </w:p>
    <w:p w14:paraId="40D35811"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基金管理人应向基金托管人提供预留印鉴和授权人签字</w:t>
      </w:r>
      <w:r>
        <w:rPr>
          <w:rFonts w:ascii="宋体" w:hAnsi="宋体" w:cs="Times New Roman"/>
          <w:sz w:val="24"/>
          <w:szCs w:val="24"/>
          <w:highlight w:val="white"/>
        </w:rPr>
        <w:t>/</w:t>
      </w:r>
      <w:r>
        <w:rPr>
          <w:rFonts w:ascii="宋体" w:hAnsi="宋体" w:cs="Times New Roman" w:hint="eastAsia"/>
          <w:sz w:val="24"/>
          <w:szCs w:val="24"/>
          <w:highlight w:val="white"/>
        </w:rPr>
        <w:t>签章样本，事先书</w:t>
      </w:r>
      <w:r>
        <w:rPr>
          <w:rFonts w:ascii="宋体" w:hAnsi="宋体" w:cs="Times New Roman" w:hint="eastAsia"/>
          <w:sz w:val="24"/>
          <w:szCs w:val="24"/>
          <w:highlight w:val="white"/>
        </w:rPr>
        <w:lastRenderedPageBreak/>
        <w:t>面通知（以下称“授权通知”）基金托管人有权发送指令的人员名单，注明相应的交易权限，并规定基金管理人向基金托管人发送指令时基金托管人确认有权发送人员身份的方法。基金管理人应通过邮件或传真或基金托管人电子服务平台方式向基金托管人发出加盖公章和法定代表人（或授权代表）名章的授权通知并与基金托管人</w:t>
      </w:r>
      <w:r>
        <w:rPr>
          <w:rFonts w:ascii="宋体" w:hAnsi="宋体" w:cs="Times New Roman"/>
          <w:sz w:val="24"/>
          <w:szCs w:val="24"/>
          <w:highlight w:val="white"/>
        </w:rPr>
        <w:t>电话确认</w:t>
      </w:r>
      <w:r>
        <w:rPr>
          <w:rFonts w:ascii="宋体" w:hAnsi="宋体" w:cs="Times New Roman" w:hint="eastAsia"/>
          <w:sz w:val="24"/>
          <w:szCs w:val="24"/>
          <w:highlight w:val="white"/>
        </w:rPr>
        <w:t>，授权通知自基金托管人确认收到时生效。基金管理人应在此后将授权通知的正本送交基金托管人。扫描件如与正本不一致，基金托管人以邮件或传真或基金托管人电子服务平台收到的扫描件为准并及时通知基金管理人。基金管理人和基金托管人对授权文件负有保密义务，其内容不得向授权人及相关操作人员以外的任何人泄露。但法律法规规定或有权机关要求的除外。</w:t>
      </w:r>
    </w:p>
    <w:p w14:paraId="06E6490A" w14:textId="77777777" w:rsidR="00232224" w:rsidRDefault="00000000">
      <w:pPr>
        <w:spacing w:line="360" w:lineRule="auto"/>
        <w:ind w:firstLineChars="200" w:firstLine="480"/>
        <w:rPr>
          <w:rFonts w:ascii="宋体" w:hAnsi="宋体" w:cs="Times New Roman"/>
          <w:sz w:val="24"/>
          <w:szCs w:val="24"/>
          <w:highlight w:val="white"/>
        </w:rPr>
      </w:pPr>
      <w:bookmarkStart w:id="51" w:name="_Toc77663007"/>
      <w:bookmarkEnd w:id="51"/>
      <w:r>
        <w:rPr>
          <w:rFonts w:ascii="宋体" w:hAnsi="宋体" w:cs="Times New Roman" w:hint="eastAsia"/>
          <w:sz w:val="24"/>
          <w:szCs w:val="24"/>
          <w:highlight w:val="white"/>
        </w:rPr>
        <w:t>（二）指令的内容</w:t>
      </w:r>
    </w:p>
    <w:p w14:paraId="4B8CB556"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指令是基金管理人在运用基金资产时，向基金托管人发出的资金划拨及其他款项收付的指令。</w:t>
      </w:r>
      <w:bookmarkStart w:id="52" w:name="_Toc77663008"/>
      <w:bookmarkEnd w:id="52"/>
      <w:r>
        <w:rPr>
          <w:rFonts w:ascii="宋体" w:hAnsi="宋体" w:cs="Times New Roman" w:hint="eastAsia"/>
          <w:sz w:val="24"/>
          <w:szCs w:val="24"/>
          <w:highlight w:val="white"/>
        </w:rPr>
        <w:t>指令应写明款项事由、支付时间、到账时间、金额、账户等执行支付所需内容，加盖预留印鉴并有被授权人签字</w:t>
      </w:r>
      <w:r>
        <w:rPr>
          <w:rFonts w:ascii="宋体" w:hAnsi="宋体" w:cs="Times New Roman"/>
          <w:sz w:val="24"/>
          <w:szCs w:val="24"/>
          <w:highlight w:val="white"/>
        </w:rPr>
        <w:t>/</w:t>
      </w:r>
      <w:r>
        <w:rPr>
          <w:rFonts w:ascii="宋体" w:hAnsi="宋体" w:cs="Times New Roman" w:hint="eastAsia"/>
          <w:sz w:val="24"/>
          <w:szCs w:val="24"/>
          <w:highlight w:val="white"/>
        </w:rPr>
        <w:t>签章。</w:t>
      </w:r>
    </w:p>
    <w:p w14:paraId="701580A0"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本基金银行账户发生的银行结算费用等银行费用，由基金托管人直接从银行账户中扣划，无须基金管理人出具指令，但应及时通知基金管理人。</w:t>
      </w:r>
    </w:p>
    <w:p w14:paraId="03F478E8"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（三）指令的发送、确认和执行的时间和程序</w:t>
      </w:r>
    </w:p>
    <w:p w14:paraId="54CF1CA5"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基金管理人应按照《基金法》及其他有关法规、《基金合同》和本协议的规定，在其合法的经营权限和交易权限内发送指令，被授权人应按照其授权权限发送指令。指令由“授权通知”确定的被授权人代表基金管理人用邮件/传真/基金托管人电子服务平台或其他双方认可的方式向基金托管人发送。发送后基金管理人及时通过电话与基金托管人确认指令内容。如基金管理人要求当天某一时点到账，除需考虑资金在途时间外，必须至少提前2小时向基金托管人发送付款指令并与基金托管人电话确认。对于新股申购网下公开发行业务，基金管理人最迟不晚于网下申购缴款日上午10:00时。在每个交易日的15:30以后接收基金管理人发出的其他划款指令的，基金托管人应尽力配合出款。基金管理人指令传输不及时，未能留出足够的执行时间，致使指令未能及时执行的，基金托管人不承担由此导致的损失。基金管理人应确保基金托管人执行指令时基金银行账户有足够的资金余额，对基金管理人在没有充足资金的情况下向基</w:t>
      </w:r>
      <w:r>
        <w:rPr>
          <w:rFonts w:ascii="宋体" w:hAnsi="宋体" w:cs="Times New Roman"/>
          <w:sz w:val="24"/>
          <w:szCs w:val="24"/>
          <w:highlight w:val="white"/>
        </w:rPr>
        <w:lastRenderedPageBreak/>
        <w:t>金托管人发出的指令，基金托管人可不予执行，并立即通知基金管理人，基金托管人不承担因为不执行该指令而造成损失的责任。对于被授权人发出的指令，基金管理人不得否认其效力。基金托管人依照“授权通知”规定的方法确认指令的有效后，方可执行指令。指令执行完毕后，基金托管人应及时通知基金管理人。</w:t>
      </w:r>
    </w:p>
    <w:p w14:paraId="288AC0E8"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基金托管人确认收到基金管理人发送的指令后，应对指令进行形式审查，验证指令的要素是否齐全，传真指令还应审核印鉴和签章是否和预留印鉴和签章样本相符，指令复核无误后应在规定期限内及时执行。</w:t>
      </w:r>
    </w:p>
    <w:p w14:paraId="6E174B63"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基金托管人有权要求基金管理人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预留必要的执行时间，否则基金托管人对因此造成的延误不承担责任。</w:t>
      </w:r>
    </w:p>
    <w:p w14:paraId="0EB3FD45"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（四）基金管理人发送错误指令的情形和处理程序</w:t>
      </w:r>
    </w:p>
    <w:p w14:paraId="2A07ED8D"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基金管理人发送错误指令的情形包括指令发送人员无权或超越权限发送指令及交割信息错误，指令中重要信息模糊不清或不全等。基金托管人在履行监督职能时，发现基金管理人的指令错误时，有权拒绝执行，并及时通知基金管理人改正。</w:t>
      </w:r>
    </w:p>
    <w:p w14:paraId="0D30F784"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（五）基金托管人依照法律、法规暂缓、拒绝执行指令的情形和处理程序</w:t>
      </w:r>
    </w:p>
    <w:p w14:paraId="2A944CC2"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基金托管人发现基金管理人发送的指令违反《基金法》、《基金合同》、本协议或有关基金法律法规的有关规定，应当视情况暂缓或不予执行，并应及时以书面形式通知基金管理人纠正，基金管理人收到通知后应及时核对，并以书面形式对基金托管人发出回函确认，由此造成的损失由基金管理人承担。</w:t>
      </w:r>
    </w:p>
    <w:p w14:paraId="16518519"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（六）基金托管人未按照基金管理人指令执行的处理方法</w:t>
      </w:r>
    </w:p>
    <w:p w14:paraId="506BC2A8"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基金托管人由于自身原因造成未按照基金管理人发送的正常指令执行，应在发现后及时采取措施予以弥补，给基金份额持有人或基金管理人造成损失的，对由此造成的直接经济损失负赔偿责任。</w:t>
      </w:r>
      <w:bookmarkStart w:id="53" w:name="_Toc77663009"/>
      <w:bookmarkEnd w:id="53"/>
    </w:p>
    <w:p w14:paraId="5117982C"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（七）被授权人的更换</w:t>
      </w:r>
    </w:p>
    <w:p w14:paraId="1135B477"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基金管理人撤换被授权人或改变被授权人的权限，必须提前至少1个工作</w:t>
      </w:r>
      <w:r>
        <w:rPr>
          <w:rFonts w:ascii="宋体" w:hAnsi="宋体" w:cs="Times New Roman"/>
          <w:sz w:val="24"/>
          <w:szCs w:val="24"/>
          <w:highlight w:val="white"/>
        </w:rPr>
        <w:lastRenderedPageBreak/>
        <w:t>日，使用邮件/传真形式向基金托管人发出加盖公章和法定代表人（或授权代表）名章的被授权人变更通知（包括姓名、权限、预留印鉴和签字样本等），注明启用日期，同时电话通知基金托管人。被授权人变更通知自基金托管人收到邮件/传真并电话确认后，方视为通知送达。被授权人变更通知在送达后，自其上面注明的启用日期起开始生效。如通知送达的日期晚于通知中注明的启用日期的，则被授权人变更通知自通知送达时生效。被授权人变更通知生效前，基金托管人仍应按原约定执行指令，基金管理人不得否认其效力。基金管理人在此后将被授权人变更通知的正本送交基金托管人。基金托管人收到的扫描件与正本不一致时，以扫描件为准。</w:t>
      </w:r>
    </w:p>
    <w:p w14:paraId="545902F6" w14:textId="5A43DDE5"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基金托管人更改接收基金管理人指令的人员及联系方式，应至少提前1个工作日以邮件或其他双方认可的方式发送基金管理人。基金托管人更改接</w:t>
      </w:r>
      <w:r>
        <w:rPr>
          <w:rFonts w:ascii="宋体" w:hAnsi="宋体" w:cs="Times New Roman" w:hint="eastAsia"/>
          <w:sz w:val="24"/>
          <w:szCs w:val="24"/>
          <w:highlight w:val="white"/>
        </w:rPr>
        <w:t>收</w:t>
      </w:r>
      <w:r>
        <w:rPr>
          <w:rFonts w:ascii="宋体" w:hAnsi="宋体" w:cs="Times New Roman"/>
          <w:sz w:val="24"/>
          <w:szCs w:val="24"/>
          <w:highlight w:val="white"/>
        </w:rPr>
        <w:t>基金管理人指令的人员及联系方式自基金管理人电话确认后生效。</w:t>
      </w:r>
    </w:p>
    <w:p w14:paraId="75D36703" w14:textId="77777777" w:rsidR="00232224" w:rsidRDefault="00000000">
      <w:pPr>
        <w:spacing w:line="360" w:lineRule="auto"/>
        <w:ind w:firstLineChars="200" w:firstLine="480"/>
        <w:rPr>
          <w:rFonts w:ascii="宋体" w:hAnsi="宋体" w:cs="Times New Roman"/>
          <w:sz w:val="24"/>
          <w:szCs w:val="24"/>
          <w:highlight w:val="white"/>
        </w:rPr>
      </w:pPr>
      <w:bookmarkStart w:id="54" w:name="_Toc22454451"/>
      <w:bookmarkStart w:id="55" w:name="_Toc125892443"/>
      <w:bookmarkStart w:id="56" w:name="_Toc466788856"/>
      <w:bookmarkStart w:id="57" w:name="_Toc523829997"/>
      <w:bookmarkStart w:id="58" w:name="_Toc508720685"/>
      <w:bookmarkEnd w:id="54"/>
      <w:bookmarkEnd w:id="55"/>
      <w:bookmarkEnd w:id="56"/>
      <w:bookmarkEnd w:id="57"/>
      <w:bookmarkEnd w:id="58"/>
      <w:r>
        <w:rPr>
          <w:rFonts w:ascii="宋体" w:hAnsi="宋体" w:cs="Times New Roman" w:hint="eastAsia"/>
          <w:sz w:val="24"/>
          <w:szCs w:val="24"/>
          <w:highlight w:val="white"/>
        </w:rPr>
        <w:t>（八）指令的保管</w:t>
      </w:r>
    </w:p>
    <w:p w14:paraId="4A23E184"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指令若以传真形式发出，则正本由基金管理人保管，基金托管人保管指令传真件。当两者不一致时，以基金托管人收到的指令传真件为准。</w:t>
      </w:r>
    </w:p>
    <w:p w14:paraId="5D8F4F81"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指令若以邮件形式发出，则正本由基金管理人保管，基金托管人保管指令扫描件。当两者不一致时，以基金托管人收到的划款指令邮件扫描件为准。</w:t>
      </w:r>
    </w:p>
    <w:p w14:paraId="5DE9FDCD"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指令若通过基金托管人电子服务平台发出的，则划款指令以基金托管人系统保管的电子数据为准。</w:t>
      </w:r>
    </w:p>
    <w:p w14:paraId="74BA7790"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（九）相关责任</w:t>
      </w:r>
    </w:p>
    <w:p w14:paraId="3089C434" w14:textId="78A48A22"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对基金管理人在没有充足资金的情况下向基金托管人发出的指令致使资金未能及时清算所造成的损失由基金管理人承担。因基金管理</w:t>
      </w:r>
      <w:proofErr w:type="gramStart"/>
      <w:r>
        <w:rPr>
          <w:rFonts w:ascii="宋体" w:hAnsi="宋体" w:cs="Times New Roman"/>
          <w:sz w:val="24"/>
          <w:szCs w:val="24"/>
          <w:highlight w:val="white"/>
        </w:rPr>
        <w:t>人原因</w:t>
      </w:r>
      <w:proofErr w:type="gramEnd"/>
      <w:r>
        <w:rPr>
          <w:rFonts w:ascii="宋体" w:hAnsi="宋体" w:cs="Times New Roman"/>
          <w:sz w:val="24"/>
          <w:szCs w:val="24"/>
          <w:highlight w:val="white"/>
        </w:rPr>
        <w:t>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w:t>
      </w:r>
      <w:r>
        <w:rPr>
          <w:rFonts w:ascii="宋体" w:hAnsi="宋体" w:cs="Times New Roman" w:hint="eastAsia"/>
          <w:sz w:val="24"/>
          <w:szCs w:val="24"/>
          <w:highlight w:val="white"/>
        </w:rPr>
        <w:t>相应</w:t>
      </w:r>
      <w:r>
        <w:rPr>
          <w:rFonts w:ascii="宋体" w:hAnsi="宋体" w:cs="Times New Roman"/>
          <w:sz w:val="24"/>
          <w:szCs w:val="24"/>
          <w:highlight w:val="white"/>
        </w:rPr>
        <w:t>责任。在正常业务受理渠道和指令规定的时间内，因基金托管</w:t>
      </w:r>
      <w:proofErr w:type="gramStart"/>
      <w:r>
        <w:rPr>
          <w:rFonts w:ascii="宋体" w:hAnsi="宋体" w:cs="Times New Roman"/>
          <w:sz w:val="24"/>
          <w:szCs w:val="24"/>
          <w:highlight w:val="white"/>
        </w:rPr>
        <w:t>人原因</w:t>
      </w:r>
      <w:proofErr w:type="gramEnd"/>
      <w:r>
        <w:rPr>
          <w:rFonts w:ascii="宋体" w:hAnsi="宋体" w:cs="Times New Roman"/>
          <w:sz w:val="24"/>
          <w:szCs w:val="24"/>
          <w:highlight w:val="white"/>
        </w:rPr>
        <w:t>造成未能及时或正确执行合法合</w:t>
      </w:r>
      <w:proofErr w:type="gramStart"/>
      <w:r>
        <w:rPr>
          <w:rFonts w:ascii="宋体" w:hAnsi="宋体" w:cs="Times New Roman"/>
          <w:sz w:val="24"/>
          <w:szCs w:val="24"/>
          <w:highlight w:val="white"/>
        </w:rPr>
        <w:t>规</w:t>
      </w:r>
      <w:proofErr w:type="gramEnd"/>
      <w:r>
        <w:rPr>
          <w:rFonts w:ascii="宋体" w:hAnsi="宋体" w:cs="Times New Roman"/>
          <w:sz w:val="24"/>
          <w:szCs w:val="24"/>
          <w:highlight w:val="white"/>
        </w:rPr>
        <w:t>的指令而导致基金财产受损的，基金托管人应承担相应的责任，但如遇到不可抗力的情况除外。</w:t>
      </w:r>
    </w:p>
    <w:p w14:paraId="3038C028" w14:textId="5B54226D"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基金托管人根据本协议相关规定履行形式审核职责，如果基金管理人的指</w:t>
      </w:r>
      <w:r>
        <w:rPr>
          <w:rFonts w:ascii="宋体" w:hAnsi="宋体" w:cs="Times New Roman" w:hint="eastAsia"/>
          <w:sz w:val="24"/>
          <w:szCs w:val="24"/>
          <w:highlight w:val="white"/>
        </w:rPr>
        <w:lastRenderedPageBreak/>
        <w:t>令存在事实上未经授权、欺诈、伪造或未能及时提供授权通知等情形，基金托管人不承担因执行有关指令或拒绝执行有关指令而给基金管理人或基金资产或任何第三</w:t>
      </w:r>
      <w:proofErr w:type="gramStart"/>
      <w:r>
        <w:rPr>
          <w:rFonts w:ascii="宋体" w:hAnsi="宋体" w:cs="Times New Roman" w:hint="eastAsia"/>
          <w:sz w:val="24"/>
          <w:szCs w:val="24"/>
          <w:highlight w:val="white"/>
        </w:rPr>
        <w:t>方带来</w:t>
      </w:r>
      <w:proofErr w:type="gramEnd"/>
      <w:r>
        <w:rPr>
          <w:rFonts w:ascii="宋体" w:hAnsi="宋体" w:cs="Times New Roman" w:hint="eastAsia"/>
          <w:sz w:val="24"/>
          <w:szCs w:val="24"/>
          <w:highlight w:val="white"/>
        </w:rPr>
        <w:t>的损失，相应责任由基金管理人承担，但基金托管人未按本协议约定</w:t>
      </w:r>
      <w:proofErr w:type="gramStart"/>
      <w:r>
        <w:rPr>
          <w:rFonts w:ascii="宋体" w:hAnsi="宋体" w:cs="Times New Roman" w:hint="eastAsia"/>
          <w:sz w:val="24"/>
          <w:szCs w:val="24"/>
          <w:highlight w:val="white"/>
        </w:rPr>
        <w:t>尽形式</w:t>
      </w:r>
      <w:proofErr w:type="gramEnd"/>
      <w:r>
        <w:rPr>
          <w:rFonts w:ascii="宋体" w:hAnsi="宋体" w:cs="Times New Roman" w:hint="eastAsia"/>
          <w:sz w:val="24"/>
          <w:szCs w:val="24"/>
          <w:highlight w:val="white"/>
        </w:rPr>
        <w:t>审核义务执行指令而造成损失的情形除外。除因故意或过失致使基金、基金管理人的利益受到损害而负赔偿责任外，基金托管人对执行基金管理人的合法指令对基金财产造成的损失不承担赔偿责任。</w:t>
      </w:r>
    </w:p>
    <w:p w14:paraId="0C307A07" w14:textId="77777777" w:rsidR="00232224" w:rsidRDefault="00000000">
      <w:pPr>
        <w:pStyle w:val="112"/>
        <w:spacing w:beforeLines="100" w:before="312" w:beforeAutospacing="0" w:afterLines="50" w:after="156" w:afterAutospacing="0" w:line="360" w:lineRule="auto"/>
        <w:jc w:val="center"/>
        <w:rPr>
          <w:rFonts w:ascii="Times New Roman" w:hAnsi="Times New Roman" w:cs="Times New Roman"/>
          <w:sz w:val="28"/>
        </w:rPr>
      </w:pPr>
      <w:bookmarkStart w:id="59" w:name="_Toc105597617"/>
      <w:r>
        <w:rPr>
          <w:rFonts w:ascii="Times New Roman" w:hAnsi="Times New Roman" w:cs="Times New Roman" w:hint="eastAsia"/>
          <w:sz w:val="28"/>
        </w:rPr>
        <w:t>七、交易及清算交收安排</w:t>
      </w:r>
      <w:bookmarkEnd w:id="59"/>
    </w:p>
    <w:p w14:paraId="3AC61A90" w14:textId="77777777" w:rsidR="00232224" w:rsidRDefault="00000000">
      <w:pPr>
        <w:spacing w:line="360" w:lineRule="auto"/>
        <w:ind w:firstLineChars="200" w:firstLine="480"/>
        <w:rPr>
          <w:rFonts w:ascii="宋体" w:hAnsi="宋体" w:cs="Times New Roman"/>
          <w:sz w:val="24"/>
          <w:szCs w:val="24"/>
          <w:highlight w:val="white"/>
        </w:rPr>
      </w:pPr>
      <w:bookmarkStart w:id="60" w:name="_Toc77663011"/>
      <w:bookmarkStart w:id="61" w:name="_Toc22454452"/>
      <w:bookmarkStart w:id="62" w:name="_Toc48703904"/>
      <w:bookmarkStart w:id="63" w:name="_Toc194292255"/>
      <w:bookmarkStart w:id="64" w:name="_Toc194741913"/>
      <w:bookmarkEnd w:id="60"/>
      <w:bookmarkEnd w:id="61"/>
      <w:r>
        <w:rPr>
          <w:rFonts w:ascii="宋体" w:hAnsi="宋体" w:cs="Times New Roman" w:hint="eastAsia"/>
          <w:sz w:val="24"/>
          <w:szCs w:val="24"/>
          <w:highlight w:val="white"/>
        </w:rPr>
        <w:t>（一）选择证券经纪机构的程序</w:t>
      </w:r>
    </w:p>
    <w:p w14:paraId="5CF5CCBE"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基金管理人负责选择代理本基金财产证券买卖的证券经纪机构，并与其签订证券经纪合同，基金管理人、基金托管人和证券经纪机构可就基金参与证券交易的具体事项另行签订协议。</w:t>
      </w:r>
    </w:p>
    <w:p w14:paraId="5CBC8B55"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 xml:space="preserve">基金管理人应及时将本基金财产证券交易单元号、佣金费率等基本信息以及变更情况及时以书面形式通知基金托管人。如基金管理人未及时告知，基金托管人将以证券经纪机构提供交易数据和对账单为准进行估值，由此产生的相关责任由基金管理人承担。 </w:t>
      </w:r>
    </w:p>
    <w:p w14:paraId="483A34D0" w14:textId="77777777" w:rsidR="00232224" w:rsidRDefault="00000000">
      <w:pPr>
        <w:spacing w:line="360" w:lineRule="auto"/>
        <w:ind w:firstLineChars="200" w:firstLine="480"/>
        <w:rPr>
          <w:rFonts w:ascii="宋体" w:hAnsi="宋体" w:cs="Times New Roman"/>
          <w:sz w:val="24"/>
          <w:szCs w:val="24"/>
          <w:highlight w:val="white"/>
        </w:rPr>
      </w:pPr>
      <w:bookmarkStart w:id="65" w:name="_Toc48703905"/>
      <w:bookmarkStart w:id="66" w:name="_Toc194741914"/>
      <w:bookmarkStart w:id="67" w:name="_Toc194292256"/>
      <w:r>
        <w:rPr>
          <w:rFonts w:ascii="宋体" w:hAnsi="宋体" w:cs="Times New Roman" w:hint="eastAsia"/>
          <w:sz w:val="24"/>
          <w:szCs w:val="24"/>
          <w:highlight w:val="white"/>
        </w:rPr>
        <w:t>（二）证券经纪机构负责的清算</w:t>
      </w:r>
      <w:bookmarkEnd w:id="65"/>
      <w:r>
        <w:rPr>
          <w:rFonts w:ascii="宋体" w:hAnsi="宋体" w:cs="Times New Roman" w:hint="eastAsia"/>
          <w:sz w:val="24"/>
          <w:szCs w:val="24"/>
          <w:highlight w:val="white"/>
        </w:rPr>
        <w:t>交收安排</w:t>
      </w:r>
      <w:bookmarkEnd w:id="66"/>
      <w:bookmarkEnd w:id="67"/>
    </w:p>
    <w:p w14:paraId="7C08EFD8"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1</w:t>
      </w:r>
      <w:r>
        <w:rPr>
          <w:rFonts w:ascii="宋体" w:hAnsi="宋体" w:cs="Times New Roman" w:hint="eastAsia"/>
          <w:sz w:val="24"/>
          <w:szCs w:val="24"/>
          <w:highlight w:val="white"/>
        </w:rPr>
        <w:t>、本基金通过证券经纪机构进行的交易由证券经纪机构作为结算参与人代理本基金进行结算；本基金其他证券交易由基金托管人或相关机构负责结算。</w:t>
      </w:r>
    </w:p>
    <w:p w14:paraId="7DE61AF7"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2</w:t>
      </w:r>
      <w:r>
        <w:rPr>
          <w:rFonts w:ascii="宋体" w:hAnsi="宋体" w:cs="Times New Roman" w:hint="eastAsia"/>
          <w:sz w:val="24"/>
          <w:szCs w:val="24"/>
          <w:highlight w:val="white"/>
        </w:rPr>
        <w:t>、证券交易所证券资金结算</w:t>
      </w:r>
    </w:p>
    <w:p w14:paraId="7FA56C57" w14:textId="7B950B71"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基金托管人、基金管理人应共同遵守中登公司制定的相关业务规则和规定，该等规则和规定自动成为本条款约定的内容。</w:t>
      </w:r>
    </w:p>
    <w:p w14:paraId="083A3421"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基金管理人在投资前，应充分知晓与理解中登公司针对各类交易品种制定结算业务规则和规定。</w:t>
      </w:r>
    </w:p>
    <w:p w14:paraId="3BEE8678"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证券经纪机构代理本基金财产与中登公司完成证券交易及</w:t>
      </w:r>
      <w:proofErr w:type="gramStart"/>
      <w:r>
        <w:rPr>
          <w:rFonts w:ascii="宋体" w:hAnsi="宋体" w:cs="Times New Roman" w:hint="eastAsia"/>
          <w:sz w:val="24"/>
          <w:szCs w:val="24"/>
          <w:highlight w:val="white"/>
        </w:rPr>
        <w:t>非交易</w:t>
      </w:r>
      <w:proofErr w:type="gramEnd"/>
      <w:r>
        <w:rPr>
          <w:rFonts w:ascii="宋体" w:hAnsi="宋体" w:cs="Times New Roman" w:hint="eastAsia"/>
          <w:sz w:val="24"/>
          <w:szCs w:val="24"/>
          <w:highlight w:val="white"/>
        </w:rPr>
        <w:t>涉及的证券资金结算业务，并承担由证券经纪机构原因造成的正常结算、交收业务无法完成的责任；若由于基金管理</w:t>
      </w:r>
      <w:proofErr w:type="gramStart"/>
      <w:r>
        <w:rPr>
          <w:rFonts w:ascii="宋体" w:hAnsi="宋体" w:cs="Times New Roman" w:hint="eastAsia"/>
          <w:sz w:val="24"/>
          <w:szCs w:val="24"/>
          <w:highlight w:val="white"/>
        </w:rPr>
        <w:t>人原因</w:t>
      </w:r>
      <w:proofErr w:type="gramEnd"/>
      <w:r>
        <w:rPr>
          <w:rFonts w:ascii="宋体" w:hAnsi="宋体" w:cs="Times New Roman" w:hint="eastAsia"/>
          <w:sz w:val="24"/>
          <w:szCs w:val="24"/>
          <w:highlight w:val="white"/>
        </w:rPr>
        <w:t>造成的正常结算业务无法完成，责任由基金管理人承担。</w:t>
      </w:r>
    </w:p>
    <w:p w14:paraId="3A635AD0" w14:textId="6F945C2B"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对于任何原因发生的证券资金交收违约事件，相关各方应当及时协商解决。</w:t>
      </w:r>
    </w:p>
    <w:p w14:paraId="109FC318" w14:textId="77777777" w:rsidR="00232224" w:rsidRDefault="00000000">
      <w:pPr>
        <w:spacing w:line="360" w:lineRule="auto"/>
        <w:ind w:firstLineChars="200" w:firstLine="480"/>
        <w:rPr>
          <w:rFonts w:ascii="宋体" w:hAnsi="宋体" w:cs="Times New Roman"/>
          <w:sz w:val="24"/>
          <w:szCs w:val="24"/>
          <w:highlight w:val="white"/>
        </w:rPr>
      </w:pPr>
      <w:bookmarkStart w:id="68" w:name="_Toc48703906"/>
      <w:bookmarkStart w:id="69" w:name="_Toc194741915"/>
      <w:bookmarkStart w:id="70" w:name="_Toc194292257"/>
      <w:r>
        <w:rPr>
          <w:rFonts w:ascii="宋体" w:hAnsi="宋体" w:cs="Times New Roman" w:hint="eastAsia"/>
          <w:sz w:val="24"/>
          <w:szCs w:val="24"/>
          <w:highlight w:val="white"/>
        </w:rPr>
        <w:lastRenderedPageBreak/>
        <w:t>（三）基金</w:t>
      </w:r>
      <w:r>
        <w:rPr>
          <w:rFonts w:ascii="宋体" w:hAnsi="宋体" w:cs="Times New Roman"/>
          <w:sz w:val="24"/>
          <w:szCs w:val="24"/>
          <w:highlight w:val="white"/>
        </w:rPr>
        <w:t>托管人负责的</w:t>
      </w:r>
      <w:r>
        <w:rPr>
          <w:rFonts w:ascii="宋体" w:hAnsi="宋体" w:cs="Times New Roman" w:hint="eastAsia"/>
          <w:sz w:val="24"/>
          <w:szCs w:val="24"/>
          <w:highlight w:val="white"/>
        </w:rPr>
        <w:t>场外资金的清算交收安排</w:t>
      </w:r>
    </w:p>
    <w:p w14:paraId="5C0C27EA"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1</w:t>
      </w:r>
      <w:r>
        <w:rPr>
          <w:rFonts w:ascii="宋体" w:hAnsi="宋体" w:cs="Times New Roman" w:hint="eastAsia"/>
          <w:sz w:val="24"/>
          <w:szCs w:val="24"/>
          <w:highlight w:val="white"/>
        </w:rPr>
        <w:t>、本基金相应的资金划拨由基金托管人依据基金管理人的划款指令执行。基金管理人应将划款指令连同相关投资证明文件一并传真或邮件发送至基金托管人。基金托管人审核无误后，应及时将划款指令交付执行。</w:t>
      </w:r>
    </w:p>
    <w:p w14:paraId="59641EB0"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2</w:t>
      </w:r>
      <w:r>
        <w:rPr>
          <w:rFonts w:ascii="宋体" w:hAnsi="宋体" w:cs="Times New Roman" w:hint="eastAsia"/>
          <w:sz w:val="24"/>
          <w:szCs w:val="24"/>
          <w:highlight w:val="white"/>
        </w:rPr>
        <w:t>、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如由于基金管理人的原因导致无法按时支付清算款，由此造成的损失由基金管理人承担。</w:t>
      </w:r>
    </w:p>
    <w:p w14:paraId="70FA283E"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3</w:t>
      </w:r>
      <w:r>
        <w:rPr>
          <w:rFonts w:ascii="宋体" w:hAnsi="宋体" w:cs="Times New Roman" w:hint="eastAsia"/>
          <w:sz w:val="24"/>
          <w:szCs w:val="24"/>
          <w:highlight w:val="white"/>
        </w:rPr>
        <w:t>、在资金头寸充足的情况下，在正常业务受理渠道和时间内，基金托管人对基金管理人符合法律法规、本协议规定的指令不得拖延或拒绝执行，如由于基金托管人的过错导致基金无法按时支付清算款，由此造成的损失由基金托管人承担，但托管账户余额不足或基金托管人遇不可抗力的情况除外。</w:t>
      </w:r>
    </w:p>
    <w:p w14:paraId="47E6B85A"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（四）资金、证券账目及交易记录的核对</w:t>
      </w:r>
      <w:bookmarkEnd w:id="68"/>
      <w:bookmarkEnd w:id="69"/>
      <w:bookmarkEnd w:id="70"/>
    </w:p>
    <w:p w14:paraId="793B28D6"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基金管理人和基金托管人定期对资产的资金、证券账目、实物</w:t>
      </w:r>
      <w:proofErr w:type="gramStart"/>
      <w:r>
        <w:rPr>
          <w:rFonts w:ascii="宋体" w:hAnsi="宋体" w:cs="Times New Roman" w:hint="eastAsia"/>
          <w:sz w:val="24"/>
          <w:szCs w:val="24"/>
          <w:highlight w:val="white"/>
        </w:rPr>
        <w:t>券</w:t>
      </w:r>
      <w:proofErr w:type="gramEnd"/>
      <w:r>
        <w:rPr>
          <w:rFonts w:ascii="宋体" w:hAnsi="宋体" w:cs="Times New Roman" w:hint="eastAsia"/>
          <w:sz w:val="24"/>
          <w:szCs w:val="24"/>
          <w:highlight w:val="white"/>
        </w:rPr>
        <w:t>账目、交易记录进行核对。</w:t>
      </w:r>
    </w:p>
    <w:p w14:paraId="6D9A9945"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（五）选择期货经纪机构及期货投资资金清算安排</w:t>
      </w:r>
    </w:p>
    <w:p w14:paraId="5EF6CBE6"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本基金投资于期货前，基金管理人负责选择为本基金提供期货交易服务的期货经纪公司，并与其签订期货经纪合同。基金管理人、基金托管人和期货经纪公司可就基金参与期货交易的具体事项另行签订协议。</w:t>
      </w:r>
    </w:p>
    <w:p w14:paraId="3CF91CAF"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本基金投资于期货发生的资金交割清算由基金管理人选定的期货经纪公司负责办理，基金托管人对由于期货交易所期货保证金制度和清算交割的需要而存放在期货经纪公司的资金不行使保管职责，基金管理人应在期货经纪协议或其他协议中约定由选定的期货经纪公司承担资金安全保管责任。</w:t>
      </w:r>
      <w:bookmarkEnd w:id="62"/>
      <w:bookmarkEnd w:id="63"/>
      <w:bookmarkEnd w:id="64"/>
    </w:p>
    <w:p w14:paraId="3BCE2F28" w14:textId="77777777" w:rsidR="00232224" w:rsidRDefault="00000000">
      <w:pPr>
        <w:spacing w:line="360" w:lineRule="auto"/>
        <w:ind w:firstLineChars="200" w:firstLine="480"/>
        <w:rPr>
          <w:rFonts w:ascii="宋体" w:hAnsi="宋体" w:cs="Times New Roman"/>
          <w:sz w:val="24"/>
          <w:szCs w:val="24"/>
          <w:highlight w:val="white"/>
        </w:rPr>
      </w:pPr>
      <w:bookmarkStart w:id="71" w:name="_Toc77663013"/>
      <w:bookmarkStart w:id="72" w:name="_Toc466788858"/>
      <w:bookmarkStart w:id="73" w:name="_Toc77663012"/>
      <w:bookmarkStart w:id="74" w:name="_Toc523829999"/>
      <w:bookmarkEnd w:id="71"/>
      <w:bookmarkEnd w:id="72"/>
      <w:bookmarkEnd w:id="73"/>
      <w:bookmarkEnd w:id="74"/>
      <w:r>
        <w:rPr>
          <w:rFonts w:ascii="宋体" w:hAnsi="宋体" w:cs="Times New Roman" w:hint="eastAsia"/>
          <w:sz w:val="24"/>
          <w:szCs w:val="24"/>
          <w:highlight w:val="white"/>
        </w:rPr>
        <w:t>（六）申购、赎回、转换开放式基金的资金清算和数据传递的时间、程序及托管协议当事人的责任界定</w:t>
      </w:r>
    </w:p>
    <w:p w14:paraId="39F86DC9" w14:textId="77777777" w:rsidR="009A2181" w:rsidRDefault="009A2181">
      <w:pPr>
        <w:spacing w:line="360" w:lineRule="auto"/>
        <w:ind w:firstLineChars="200" w:firstLine="480"/>
        <w:rPr>
          <w:rFonts w:ascii="宋体" w:hAnsi="宋体" w:cs="Times New Roman"/>
          <w:sz w:val="24"/>
          <w:szCs w:val="24"/>
          <w:highlight w:val="white"/>
        </w:rPr>
      </w:pPr>
    </w:p>
    <w:p w14:paraId="6FF3D33E"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1</w:t>
      </w:r>
      <w:r>
        <w:rPr>
          <w:rFonts w:ascii="宋体" w:hAnsi="宋体" w:cs="Times New Roman" w:hint="eastAsia"/>
          <w:sz w:val="24"/>
          <w:szCs w:val="24"/>
          <w:highlight w:val="white"/>
        </w:rPr>
        <w:t>、托管协议当事人在开放式基金的申购赎回、转换中的责任</w:t>
      </w:r>
    </w:p>
    <w:p w14:paraId="77FBD6D3"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本基金的申购与赎回将通过销售机构进行。具体的销售机构将由基金管理</w:t>
      </w:r>
      <w:r>
        <w:rPr>
          <w:rFonts w:ascii="宋体" w:hAnsi="宋体" w:cs="Times New Roman" w:hint="eastAsia"/>
          <w:sz w:val="24"/>
          <w:szCs w:val="24"/>
          <w:highlight w:val="white"/>
        </w:rPr>
        <w:lastRenderedPageBreak/>
        <w:t>人在招募说明书或基金管理人网站列明。由基金管理人办理基金份额的过户和登记，基金托管人负责接收并确认资金的到账情况，以及依照基金管理人的指令来划付赎回款项。</w:t>
      </w:r>
    </w:p>
    <w:p w14:paraId="136D4CAC"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2</w:t>
      </w:r>
      <w:r>
        <w:rPr>
          <w:rFonts w:ascii="宋体" w:hAnsi="宋体" w:cs="Times New Roman" w:hint="eastAsia"/>
          <w:sz w:val="24"/>
          <w:szCs w:val="24"/>
          <w:highlight w:val="white"/>
        </w:rPr>
        <w:t>、本基金的数据传递</w:t>
      </w:r>
    </w:p>
    <w:p w14:paraId="63232B3D"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基金管理人应保证本基金的登记机构每个工作日</w:t>
      </w:r>
      <w:r>
        <w:rPr>
          <w:rFonts w:ascii="宋体" w:hAnsi="宋体" w:cs="Times New Roman"/>
          <w:sz w:val="24"/>
          <w:szCs w:val="24"/>
          <w:highlight w:val="white"/>
        </w:rPr>
        <w:t>15:00</w:t>
      </w:r>
      <w:r>
        <w:rPr>
          <w:rFonts w:ascii="宋体" w:hAnsi="宋体" w:cs="Times New Roman" w:hint="eastAsia"/>
          <w:sz w:val="24"/>
          <w:szCs w:val="24"/>
          <w:highlight w:val="white"/>
        </w:rPr>
        <w:t>前向基金托管人发送前一开放</w:t>
      </w:r>
      <w:proofErr w:type="gramStart"/>
      <w:r>
        <w:rPr>
          <w:rFonts w:ascii="宋体" w:hAnsi="宋体" w:cs="Times New Roman" w:hint="eastAsia"/>
          <w:sz w:val="24"/>
          <w:szCs w:val="24"/>
          <w:highlight w:val="white"/>
        </w:rPr>
        <w:t>日上述</w:t>
      </w:r>
      <w:proofErr w:type="gramEnd"/>
      <w:r>
        <w:rPr>
          <w:rFonts w:ascii="宋体" w:hAnsi="宋体" w:cs="Times New Roman" w:hint="eastAsia"/>
          <w:sz w:val="24"/>
          <w:szCs w:val="24"/>
          <w:highlight w:val="white"/>
        </w:rPr>
        <w:t>有关数据。基金管理人应对传递的申购、赎回、转换数据的真实性、准确性和完整性负责。</w:t>
      </w:r>
    </w:p>
    <w:p w14:paraId="573EAB4F"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3</w:t>
      </w:r>
      <w:r>
        <w:rPr>
          <w:rFonts w:ascii="宋体" w:hAnsi="宋体" w:cs="Times New Roman" w:hint="eastAsia"/>
          <w:sz w:val="24"/>
          <w:szCs w:val="24"/>
          <w:highlight w:val="white"/>
        </w:rPr>
        <w:t>、本基金的资金清算</w:t>
      </w:r>
    </w:p>
    <w:p w14:paraId="1A3EE1F9" w14:textId="09588D4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基金申购、赎回等款项采用</w:t>
      </w:r>
      <w:proofErr w:type="gramStart"/>
      <w:r>
        <w:rPr>
          <w:rFonts w:ascii="宋体" w:hAnsi="宋体" w:cs="Times New Roman" w:hint="eastAsia"/>
          <w:sz w:val="24"/>
          <w:szCs w:val="24"/>
          <w:highlight w:val="white"/>
        </w:rPr>
        <w:t>轧差交收</w:t>
      </w:r>
      <w:proofErr w:type="gramEnd"/>
      <w:r>
        <w:rPr>
          <w:rFonts w:ascii="宋体" w:hAnsi="宋体" w:cs="Times New Roman" w:hint="eastAsia"/>
          <w:sz w:val="24"/>
          <w:szCs w:val="24"/>
          <w:highlight w:val="white"/>
        </w:rPr>
        <w:t>的结算方式，净额在基金管理人清算账户和托管账户之间交收。如果</w:t>
      </w:r>
      <w:proofErr w:type="gramStart"/>
      <w:r>
        <w:rPr>
          <w:rFonts w:ascii="宋体" w:hAnsi="宋体" w:cs="Times New Roman" w:hint="eastAsia"/>
          <w:sz w:val="24"/>
          <w:szCs w:val="24"/>
          <w:highlight w:val="white"/>
        </w:rPr>
        <w:t>交收日基金</w:t>
      </w:r>
      <w:proofErr w:type="gramEnd"/>
      <w:r>
        <w:rPr>
          <w:rFonts w:ascii="宋体" w:hAnsi="宋体" w:cs="Times New Roman" w:hint="eastAsia"/>
          <w:sz w:val="24"/>
          <w:szCs w:val="24"/>
          <w:highlight w:val="white"/>
        </w:rPr>
        <w:t>为净应收款，基金管理人在</w:t>
      </w:r>
      <w:r>
        <w:rPr>
          <w:rFonts w:ascii="宋体" w:hAnsi="宋体" w:cs="Times New Roman"/>
          <w:sz w:val="24"/>
          <w:szCs w:val="24"/>
          <w:highlight w:val="white"/>
        </w:rPr>
        <w:t>15:00</w:t>
      </w:r>
      <w:r>
        <w:rPr>
          <w:rFonts w:ascii="宋体" w:hAnsi="宋体" w:cs="Times New Roman" w:hint="eastAsia"/>
          <w:sz w:val="24"/>
          <w:szCs w:val="24"/>
          <w:highlight w:val="white"/>
        </w:rPr>
        <w:t>之前从基金管理人清算</w:t>
      </w:r>
      <w:proofErr w:type="gramStart"/>
      <w:r>
        <w:rPr>
          <w:rFonts w:ascii="宋体" w:hAnsi="宋体" w:cs="Times New Roman" w:hint="eastAsia"/>
          <w:sz w:val="24"/>
          <w:szCs w:val="24"/>
          <w:highlight w:val="white"/>
        </w:rPr>
        <w:t>账户划往托管</w:t>
      </w:r>
      <w:proofErr w:type="gramEnd"/>
      <w:r>
        <w:rPr>
          <w:rFonts w:ascii="宋体" w:hAnsi="宋体" w:cs="Times New Roman" w:hint="eastAsia"/>
          <w:sz w:val="24"/>
          <w:szCs w:val="24"/>
          <w:highlight w:val="white"/>
        </w:rPr>
        <w:t>账户。基金托管人应及时查收资金是否到账，对于未准时到账的资金，应及时通知基金管理人划付。对于未准时划付的资金，基金托管人应及时通知基金管理人划付，由此产生的责任应由基金管理人承担。后果严重的基金托管人应向中国证监会报告。</w:t>
      </w:r>
    </w:p>
    <w:p w14:paraId="796FD2FD" w14:textId="1F5DA95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如果</w:t>
      </w:r>
      <w:proofErr w:type="gramStart"/>
      <w:r>
        <w:rPr>
          <w:rFonts w:ascii="宋体" w:hAnsi="宋体" w:cs="Times New Roman" w:hint="eastAsia"/>
          <w:sz w:val="24"/>
          <w:szCs w:val="24"/>
          <w:highlight w:val="white"/>
        </w:rPr>
        <w:t>交收日基金</w:t>
      </w:r>
      <w:proofErr w:type="gramEnd"/>
      <w:r>
        <w:rPr>
          <w:rFonts w:ascii="宋体" w:hAnsi="宋体" w:cs="Times New Roman" w:hint="eastAsia"/>
          <w:sz w:val="24"/>
          <w:szCs w:val="24"/>
          <w:highlight w:val="white"/>
        </w:rPr>
        <w:t>为净应付款，基金托管人应根据基金管理人的指令将净应付额在</w:t>
      </w:r>
      <w:r>
        <w:rPr>
          <w:rFonts w:ascii="宋体" w:hAnsi="宋体" w:cs="Times New Roman"/>
          <w:sz w:val="24"/>
          <w:szCs w:val="24"/>
          <w:highlight w:val="white"/>
        </w:rPr>
        <w:t>12</w:t>
      </w:r>
      <w:r>
        <w:rPr>
          <w:rFonts w:ascii="宋体" w:hAnsi="宋体" w:cs="Times New Roman" w:hint="eastAsia"/>
          <w:sz w:val="24"/>
          <w:szCs w:val="24"/>
          <w:highlight w:val="white"/>
        </w:rPr>
        <w:t>：</w:t>
      </w:r>
      <w:r>
        <w:rPr>
          <w:rFonts w:ascii="宋体" w:hAnsi="宋体" w:cs="Times New Roman"/>
          <w:sz w:val="24"/>
          <w:szCs w:val="24"/>
          <w:highlight w:val="white"/>
        </w:rPr>
        <w:t>00</w:t>
      </w:r>
      <w:r>
        <w:rPr>
          <w:rFonts w:ascii="宋体" w:hAnsi="宋体" w:cs="Times New Roman" w:hint="eastAsia"/>
          <w:sz w:val="24"/>
          <w:szCs w:val="24"/>
          <w:highlight w:val="white"/>
        </w:rPr>
        <w:t>前</w:t>
      </w:r>
      <w:proofErr w:type="gramStart"/>
      <w:r>
        <w:rPr>
          <w:rFonts w:ascii="宋体" w:hAnsi="宋体" w:cs="Times New Roman" w:hint="eastAsia"/>
          <w:sz w:val="24"/>
          <w:szCs w:val="24"/>
          <w:highlight w:val="white"/>
        </w:rPr>
        <w:t>划往基金</w:t>
      </w:r>
      <w:proofErr w:type="gramEnd"/>
      <w:r>
        <w:rPr>
          <w:rFonts w:ascii="宋体" w:hAnsi="宋体" w:cs="Times New Roman" w:hint="eastAsia"/>
          <w:sz w:val="24"/>
          <w:szCs w:val="24"/>
          <w:highlight w:val="white"/>
        </w:rPr>
        <w:t>管理人清算账户。对于未准时划付的资金，基金管理人及时通知基金托管人划付，由此产生的责任应由基金托管人承担。后果严重的基金管理人应向中国证监会报告。</w:t>
      </w:r>
    </w:p>
    <w:p w14:paraId="51FE2354"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当存在托管账户净应付额时，如托管账户有足够的资金，基金托管人应按时划付；因托管账户没有足够的资金，导致基金托管人不能按时划付，基金托管人应及时通知基金管理人，基金托管人不承担责任；如</w:t>
      </w:r>
      <w:proofErr w:type="gramStart"/>
      <w:r>
        <w:rPr>
          <w:rFonts w:ascii="宋体" w:hAnsi="宋体" w:cs="Times New Roman" w:hint="eastAsia"/>
          <w:sz w:val="24"/>
          <w:szCs w:val="24"/>
          <w:highlight w:val="white"/>
        </w:rPr>
        <w:t>系基金</w:t>
      </w:r>
      <w:proofErr w:type="gramEnd"/>
      <w:r>
        <w:rPr>
          <w:rFonts w:ascii="宋体" w:hAnsi="宋体" w:cs="Times New Roman" w:hint="eastAsia"/>
          <w:sz w:val="24"/>
          <w:szCs w:val="24"/>
          <w:highlight w:val="white"/>
        </w:rPr>
        <w:t>管理人的原因造成，责任由基金管理人承担，基金托管人不承担垫款义务。</w:t>
      </w:r>
    </w:p>
    <w:p w14:paraId="1D9E2B41"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（七）基金收益分配的清算交收安排</w:t>
      </w:r>
    </w:p>
    <w:p w14:paraId="57EE1901" w14:textId="673639C2"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1</w:t>
      </w:r>
      <w:r>
        <w:rPr>
          <w:rFonts w:ascii="宋体" w:hAnsi="宋体" w:cs="Times New Roman" w:hint="eastAsia"/>
          <w:sz w:val="24"/>
          <w:szCs w:val="24"/>
          <w:highlight w:val="white"/>
        </w:rPr>
        <w:t>、基金管理人决定收益分配方案并通知基金托管人，经基金托管人复核后按规定公告。</w:t>
      </w:r>
    </w:p>
    <w:p w14:paraId="644224A3"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2</w:t>
      </w:r>
      <w:r>
        <w:rPr>
          <w:rFonts w:ascii="宋体" w:hAnsi="宋体" w:cs="Times New Roman" w:hint="eastAsia"/>
          <w:sz w:val="24"/>
          <w:szCs w:val="24"/>
          <w:highlight w:val="white"/>
        </w:rPr>
        <w:t>、基金托管人和基金管理人对基金收益分配进行账务处理并核对后，基金管理人应及时向基金托管人发送分发现金红利的划款指令，基金托管人依据划款指令在指定</w:t>
      </w:r>
      <w:proofErr w:type="gramStart"/>
      <w:r>
        <w:rPr>
          <w:rFonts w:ascii="宋体" w:hAnsi="宋体" w:cs="Times New Roman" w:hint="eastAsia"/>
          <w:sz w:val="24"/>
          <w:szCs w:val="24"/>
          <w:highlight w:val="white"/>
        </w:rPr>
        <w:t>划付日</w:t>
      </w:r>
      <w:proofErr w:type="gramEnd"/>
      <w:r>
        <w:rPr>
          <w:rFonts w:ascii="宋体" w:hAnsi="宋体" w:cs="Times New Roman" w:hint="eastAsia"/>
          <w:sz w:val="24"/>
          <w:szCs w:val="24"/>
          <w:highlight w:val="white"/>
        </w:rPr>
        <w:t>及时将资金划至基金管理人指定账户。</w:t>
      </w:r>
    </w:p>
    <w:p w14:paraId="588462EC"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3</w:t>
      </w:r>
      <w:r>
        <w:rPr>
          <w:rFonts w:ascii="宋体" w:hAnsi="宋体" w:cs="Times New Roman" w:hint="eastAsia"/>
          <w:sz w:val="24"/>
          <w:szCs w:val="24"/>
          <w:highlight w:val="white"/>
        </w:rPr>
        <w:t>、基金管理人在下达分红款支付指令时，应给基金托管人留出必需的划款</w:t>
      </w:r>
      <w:r>
        <w:rPr>
          <w:rFonts w:ascii="宋体" w:hAnsi="宋体" w:cs="Times New Roman" w:hint="eastAsia"/>
          <w:sz w:val="24"/>
          <w:szCs w:val="24"/>
          <w:highlight w:val="white"/>
        </w:rPr>
        <w:lastRenderedPageBreak/>
        <w:t>时间。</w:t>
      </w:r>
      <w:bookmarkStart w:id="75" w:name="_Toc125892444"/>
      <w:bookmarkStart w:id="76" w:name="_Toc508720686"/>
      <w:bookmarkEnd w:id="75"/>
      <w:bookmarkEnd w:id="76"/>
    </w:p>
    <w:p w14:paraId="69D3CC2D" w14:textId="77777777" w:rsidR="00232224" w:rsidRDefault="00000000">
      <w:pPr>
        <w:pStyle w:val="112"/>
        <w:spacing w:beforeLines="100" w:before="312" w:beforeAutospacing="0" w:afterLines="50" w:after="156" w:afterAutospacing="0" w:line="360" w:lineRule="auto"/>
        <w:jc w:val="center"/>
        <w:rPr>
          <w:rFonts w:ascii="Times New Roman" w:hAnsi="Times New Roman" w:cs="Times New Roman"/>
          <w:sz w:val="28"/>
        </w:rPr>
      </w:pPr>
      <w:bookmarkStart w:id="77" w:name="_Toc105597618"/>
      <w:r>
        <w:rPr>
          <w:rFonts w:ascii="Times New Roman" w:hAnsi="Times New Roman" w:cs="Times New Roman" w:hint="eastAsia"/>
          <w:sz w:val="28"/>
        </w:rPr>
        <w:t>八、基金资产净值计算和会计核算</w:t>
      </w:r>
      <w:bookmarkEnd w:id="77"/>
    </w:p>
    <w:p w14:paraId="7D4CCF62" w14:textId="77777777" w:rsidR="00232224" w:rsidRDefault="00000000">
      <w:pPr>
        <w:spacing w:line="360" w:lineRule="auto"/>
        <w:ind w:firstLineChars="200" w:firstLine="480"/>
        <w:rPr>
          <w:rFonts w:ascii="宋体" w:hAnsi="宋体" w:cs="Times New Roman"/>
          <w:sz w:val="24"/>
          <w:szCs w:val="24"/>
          <w:highlight w:val="white"/>
        </w:rPr>
      </w:pPr>
      <w:bookmarkStart w:id="78" w:name="_Toc77663017"/>
      <w:bookmarkEnd w:id="78"/>
      <w:r>
        <w:rPr>
          <w:rFonts w:ascii="宋体" w:hAnsi="宋体" w:cs="Times New Roman" w:hint="eastAsia"/>
          <w:sz w:val="24"/>
          <w:szCs w:val="24"/>
          <w:highlight w:val="white"/>
        </w:rPr>
        <w:t>（一）基金资产净值及基金份额净值的计算与复核</w:t>
      </w:r>
    </w:p>
    <w:p w14:paraId="06BCD82B"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基金资产净值是指基金资产总值减去基金负债后的价值。</w:t>
      </w:r>
    </w:p>
    <w:p w14:paraId="15BD9CF3" w14:textId="1A539D1B"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某类基金份额净值是按照每个工作日闭市后，该类基金份额的基金资产净值除以当日该类基金份额的余额数量计算，精确到</w:t>
      </w:r>
      <w:r>
        <w:rPr>
          <w:rFonts w:ascii="宋体" w:hAnsi="宋体" w:cs="Times New Roman"/>
          <w:sz w:val="24"/>
          <w:szCs w:val="24"/>
          <w:highlight w:val="white"/>
        </w:rPr>
        <w:t>0.0001</w:t>
      </w:r>
      <w:r>
        <w:rPr>
          <w:rFonts w:ascii="宋体" w:hAnsi="宋体" w:cs="Times New Roman" w:hint="eastAsia"/>
          <w:sz w:val="24"/>
          <w:szCs w:val="24"/>
          <w:highlight w:val="white"/>
        </w:rPr>
        <w:t>元，小数点后第5位四舍五入。基金管理人可以设立大额赎回情形下的净值精度应急调整机制。国家另有规定的，从其规定。</w:t>
      </w:r>
    </w:p>
    <w:p w14:paraId="263ADA04" w14:textId="4467D7FB"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基金管理人</w:t>
      </w:r>
      <w:proofErr w:type="gramStart"/>
      <w:r>
        <w:rPr>
          <w:rFonts w:ascii="宋体" w:hAnsi="宋体" w:cs="Times New Roman" w:hint="eastAsia"/>
          <w:sz w:val="24"/>
          <w:szCs w:val="24"/>
          <w:highlight w:val="white"/>
        </w:rPr>
        <w:t>应每个</w:t>
      </w:r>
      <w:proofErr w:type="gramEnd"/>
      <w:r>
        <w:rPr>
          <w:rFonts w:ascii="宋体" w:hAnsi="宋体" w:cs="Times New Roman" w:hint="eastAsia"/>
          <w:sz w:val="24"/>
          <w:szCs w:val="24"/>
          <w:highlight w:val="white"/>
        </w:rPr>
        <w:t>工作日对基金资产估值。但基金管理人根据法律法规或基金合同的规定暂停估值时除外。估值原则应符合《基金合同》、《中国证券监督管理委员会关于证券投资基金估值业务的指导意见》及其他法律、法规的规定。基金资产净值和各类基金份额净值由基金管理人负责计算，基金托管人复核。基金管理人应于每个工作日对基金资产估值后，将各类基金份额的基金份额净值结果发送给基金托管人。基金托管人对净值计算结果复核无误后，将复核结果反馈给基金管理人，由基金管理人对各类基金份额净值按规定予以公布。</w:t>
      </w:r>
    </w:p>
    <w:p w14:paraId="3ACA86B9"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（二）基金资产的估值</w:t>
      </w:r>
    </w:p>
    <w:p w14:paraId="069F34B0"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基金管理人及基金托管人应当按照《基金合同》的约定进行估值。</w:t>
      </w:r>
    </w:p>
    <w:p w14:paraId="24B4F05F"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1、证券交易所上市的有价证券的估值</w:t>
      </w:r>
    </w:p>
    <w:p w14:paraId="4C763B56" w14:textId="5ED588CE"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（1）</w:t>
      </w:r>
      <w:r>
        <w:rPr>
          <w:rFonts w:ascii="宋体" w:hAnsi="宋体" w:cs="Times New Roman" w:hint="eastAsia"/>
          <w:sz w:val="24"/>
          <w:szCs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Pr>
          <w:rFonts w:ascii="宋体" w:hAnsi="宋体" w:cs="Times New Roman"/>
          <w:sz w:val="24"/>
          <w:szCs w:val="24"/>
          <w:highlight w:val="white"/>
        </w:rPr>
        <w:t>；</w:t>
      </w:r>
    </w:p>
    <w:p w14:paraId="6ECF2F60" w14:textId="0CF7C109"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（2）</w:t>
      </w:r>
      <w:r>
        <w:rPr>
          <w:rFonts w:ascii="宋体" w:hAnsi="宋体" w:cs="Times New Roman" w:hint="eastAsia"/>
          <w:sz w:val="24"/>
          <w:szCs w:val="24"/>
        </w:rPr>
        <w:t>交易所上市交易或挂牌转让的不含</w:t>
      </w:r>
      <w:proofErr w:type="gramStart"/>
      <w:r>
        <w:rPr>
          <w:rFonts w:ascii="宋体" w:hAnsi="宋体" w:cs="Times New Roman" w:hint="eastAsia"/>
          <w:sz w:val="24"/>
          <w:szCs w:val="24"/>
        </w:rPr>
        <w:t>权固定</w:t>
      </w:r>
      <w:proofErr w:type="gramEnd"/>
      <w:r>
        <w:rPr>
          <w:rFonts w:ascii="宋体" w:hAnsi="宋体" w:cs="Times New Roman" w:hint="eastAsia"/>
          <w:sz w:val="24"/>
          <w:szCs w:val="24"/>
        </w:rPr>
        <w:t>收益品种，选取估值日第三方估值机构提供的相应品种当日的估值全价进行估值</w:t>
      </w:r>
      <w:r>
        <w:rPr>
          <w:rFonts w:ascii="宋体" w:hAnsi="宋体" w:cs="Times New Roman"/>
          <w:sz w:val="24"/>
          <w:szCs w:val="24"/>
          <w:highlight w:val="white"/>
        </w:rPr>
        <w:t>；</w:t>
      </w:r>
    </w:p>
    <w:p w14:paraId="1D596D9D" w14:textId="77777777" w:rsidR="00232224"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（3）交易所上市交易或挂牌转让的含</w:t>
      </w:r>
      <w:proofErr w:type="gramStart"/>
      <w:r>
        <w:rPr>
          <w:rFonts w:ascii="宋体" w:hAnsi="宋体" w:cs="Times New Roman" w:hint="eastAsia"/>
          <w:sz w:val="24"/>
          <w:szCs w:val="24"/>
        </w:rPr>
        <w:t>权固定</w:t>
      </w:r>
      <w:proofErr w:type="gramEnd"/>
      <w:r>
        <w:rPr>
          <w:rFonts w:ascii="宋体" w:hAnsi="宋体" w:cs="Times New Roman" w:hint="eastAsia"/>
          <w:sz w:val="24"/>
          <w:szCs w:val="24"/>
        </w:rPr>
        <w:t>收益品种，选取估值日第三方</w:t>
      </w:r>
      <w:r>
        <w:rPr>
          <w:rFonts w:ascii="宋体" w:hAnsi="宋体" w:cs="Times New Roman" w:hint="eastAsia"/>
          <w:sz w:val="24"/>
          <w:szCs w:val="24"/>
        </w:rPr>
        <w:lastRenderedPageBreak/>
        <w:t>估值机构提供的相应品种当日的唯一估值全价或推荐估值全价进行估值；</w:t>
      </w:r>
    </w:p>
    <w:p w14:paraId="0ACEDDB4" w14:textId="77777777" w:rsidR="00232224"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（4）交易所上市交易的可转换债券以每日收盘价作为估值全价；</w:t>
      </w:r>
    </w:p>
    <w:p w14:paraId="3D1C08AD" w14:textId="77777777" w:rsidR="00232224"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（5）交易所上市不存在活跃市场的有价证券，采用估值技术确定公允价值。交易所市场挂牌转让的资产支持证券，采用估值技术确定公允价值；</w:t>
      </w:r>
    </w:p>
    <w:p w14:paraId="299B1BD5" w14:textId="091CA153"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D00D1B2" w14:textId="69094422" w:rsidR="00232224" w:rsidRDefault="00000000">
      <w:pPr>
        <w:spacing w:line="360" w:lineRule="auto"/>
        <w:ind w:firstLineChars="200" w:firstLine="480"/>
        <w:rPr>
          <w:rFonts w:ascii="宋体" w:hAnsi="宋体" w:cs="Times New Roman"/>
          <w:sz w:val="24"/>
          <w:szCs w:val="24"/>
        </w:rPr>
      </w:pPr>
      <w:r w:rsidRPr="0079157F">
        <w:rPr>
          <w:rFonts w:ascii="宋体" w:hAnsi="宋体" w:cs="Times New Roman"/>
          <w:sz w:val="24"/>
          <w:szCs w:val="24"/>
        </w:rPr>
        <w:t>2</w:t>
      </w:r>
      <w:r w:rsidRPr="0079157F">
        <w:rPr>
          <w:rFonts w:ascii="宋体" w:hAnsi="宋体" w:cs="Times New Roman" w:hint="eastAsia"/>
          <w:sz w:val="24"/>
          <w:szCs w:val="24"/>
        </w:rPr>
        <w:t>、处于</w:t>
      </w:r>
      <w:r>
        <w:rPr>
          <w:rFonts w:hint="eastAsia"/>
          <w:bCs/>
          <w:sz w:val="24"/>
        </w:rPr>
        <w:t>未上市期间的有价证券应区分如下情况处理：</w:t>
      </w:r>
    </w:p>
    <w:p w14:paraId="13796652" w14:textId="77777777" w:rsidR="00232224"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（1）送股、转增股、配股和公开增发的新股，按估值日在证券交易所挂牌的同一股票的估值方法估值；该日无交易的，以最近一日的市价（收盘价）估值；</w:t>
      </w:r>
    </w:p>
    <w:p w14:paraId="3357044C" w14:textId="2387C85C" w:rsidR="00232224" w:rsidRDefault="00000000">
      <w:pPr>
        <w:spacing w:line="360" w:lineRule="auto"/>
        <w:ind w:firstLineChars="200" w:firstLine="480"/>
        <w:rPr>
          <w:bCs/>
          <w:sz w:val="24"/>
        </w:rPr>
      </w:pPr>
      <w:r>
        <w:rPr>
          <w:rFonts w:ascii="宋体" w:hAnsi="宋体" w:cs="Times New Roman" w:hint="eastAsia"/>
          <w:sz w:val="24"/>
          <w:szCs w:val="24"/>
        </w:rPr>
        <w:t>（2）首次公开发行未上市的股票、债券，采用估值技术确定公允价值；</w:t>
      </w:r>
      <w:r>
        <w:rPr>
          <w:rFonts w:ascii="宋体" w:hAnsi="宋体" w:cs="宋体"/>
          <w:sz w:val="24"/>
          <w:szCs w:val="24"/>
        </w:rPr>
        <w:t xml:space="preserve"> </w:t>
      </w:r>
    </w:p>
    <w:p w14:paraId="11FE9FE6" w14:textId="77777777" w:rsidR="00232224"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（3）在发行时明确一定期限限售期的股票，包括但不限于非公开发行股票、首次公开发行股票时公司股东公开发售股份、通过大宗交易取得的带限售期的股票等，不包括停牌、新发行未上市、回购交易中的质押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ascii="宋体" w:hAnsi="宋体" w:cs="Times New Roman" w:hint="eastAsia"/>
          <w:sz w:val="24"/>
          <w:szCs w:val="24"/>
        </w:rPr>
        <w:t>券</w:t>
      </w:r>
      <w:proofErr w:type="gramEnd"/>
      <w:r>
        <w:rPr>
          <w:rFonts w:ascii="宋体" w:hAnsi="宋体" w:cs="Times New Roman" w:hint="eastAsia"/>
          <w:sz w:val="24"/>
          <w:szCs w:val="24"/>
        </w:rPr>
        <w:t>等流通受限股票，按监管机构或行业协会有关规定确定公允价值。</w:t>
      </w:r>
    </w:p>
    <w:p w14:paraId="704904A8" w14:textId="2B1E3C80" w:rsidR="00232224"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3、对全国银行间市场上不含权的固定收益品种，按照第三方估值机构提供的相应品种当日的估值全价估值。对银行间市场上含权的固定收益品种，按照第三方估值机构提供的相应品种当日的唯一估值全价或推荐估值全价估值。对于含投资人回售权的固定收益品种，行使回售权的，在回售登记日至实际收款日期间建议选取第三方估值机构提供的相应品种的唯一估值全价或推荐估值全价，同时应充分考虑发行人的信用风险变化对公允价值的影响。回售登记期截止日（含当日）后未行使回售权的按照长待偿期所对应的价格进行估值。</w:t>
      </w:r>
    </w:p>
    <w:p w14:paraId="3C449386" w14:textId="77777777" w:rsidR="00232224"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4、股指期货合约、国债期货合约估值方法</w:t>
      </w:r>
    </w:p>
    <w:p w14:paraId="2DDC4423" w14:textId="77777777" w:rsidR="00232224"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（1）股指期货合约、国债期货合约一般以估值当日结算价格进行估值，估值当日无结算价的，且最近交易日后经济环境未发生重大变化的，采用最近交易日结算价估值；</w:t>
      </w:r>
    </w:p>
    <w:p w14:paraId="762EBEFD" w14:textId="77777777" w:rsidR="00232224"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lastRenderedPageBreak/>
        <w:t>（2）在任何情况下，基金管理人如采用本项第（1）小项规定的方法对基金资产进行估值，均应被认为采用了适当的估值方法。但是，如果基金管理人认为按本项第（1）小项规定的方法对基金资产进行估值不能客观反映其公允价值的，基金管理人可根据具体情况，并与基金托管人商定后，按最能反映公允价值的价格估值；</w:t>
      </w:r>
    </w:p>
    <w:p w14:paraId="7A61ECAA" w14:textId="77777777" w:rsidR="00232224"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（3）国家有最新规定的，按其规定进行估值。</w:t>
      </w:r>
    </w:p>
    <w:p w14:paraId="19C1203C" w14:textId="77777777" w:rsidR="00232224"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5、估值计算中涉及港币对人民币汇率的，将依据下列信息提供机构所提供的汇率为基准：当日中国人民银行或其授权机构公布的人民币与港币的中间价。</w:t>
      </w:r>
    </w:p>
    <w:p w14:paraId="20FE559F" w14:textId="77777777" w:rsidR="00232224"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6、同一股票或债券同时在两个或两个以上市场交易的，按股票或债券所处的市场分别估值。</w:t>
      </w:r>
    </w:p>
    <w:p w14:paraId="58277499" w14:textId="77777777" w:rsidR="00232224"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7、本基金投资存托凭证的估值核算，依照境内上市交易的股票进行。</w:t>
      </w:r>
    </w:p>
    <w:p w14:paraId="7CB1087D" w14:textId="77777777" w:rsidR="00232224"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8、如有确凿证据表明按上述方法进行估值不能客观反映其公允价值的，基金管理人可根据具体情况与基金托管人商定后，按最能反映公允价值的价格估值。</w:t>
      </w:r>
    </w:p>
    <w:p w14:paraId="2E9FADBB" w14:textId="77777777" w:rsidR="00232224"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9、当发生大额申购或赎回情形时，基金管理人可以采用摆动定价机制，以确保基金估值的公平性。具体处理原则与操作规范遵循相关法律法规以及监管部门、自律组织的规定。</w:t>
      </w:r>
    </w:p>
    <w:p w14:paraId="5A5B7010" w14:textId="65CD098E"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rPr>
        <w:t>10、相关法律法规以及监管部门有强制规定的，从其规定。如有新增事项，按国家最新规定估值。</w:t>
      </w:r>
    </w:p>
    <w:p w14:paraId="00E70217"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如基金管理人或基金托管人发现基金估值违反基金合同订明的估值方法、程序及相关法律法规的规定或者未能充分维护基金份额持有人利益时，应立即通知对方，共同查明原因，双方协商解决。</w:t>
      </w:r>
    </w:p>
    <w:p w14:paraId="3947CB87" w14:textId="05F466CE"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Pr>
          <w:rFonts w:ascii="宋体" w:hAnsi="宋体" w:cs="Times New Roman" w:hint="eastAsia"/>
          <w:sz w:val="24"/>
          <w:szCs w:val="24"/>
          <w:highlight w:val="white"/>
        </w:rPr>
        <w:t>信息</w:t>
      </w:r>
      <w:r>
        <w:rPr>
          <w:rFonts w:ascii="宋体" w:hAnsi="宋体" w:cs="Times New Roman"/>
          <w:sz w:val="24"/>
          <w:szCs w:val="24"/>
          <w:highlight w:val="white"/>
        </w:rPr>
        <w:t>的计算结果对外予以公布。</w:t>
      </w:r>
    </w:p>
    <w:p w14:paraId="0D91CC1F" w14:textId="77777777" w:rsidR="009A2181" w:rsidRDefault="009A2181">
      <w:pPr>
        <w:spacing w:line="360" w:lineRule="auto"/>
        <w:ind w:firstLineChars="200" w:firstLine="480"/>
        <w:rPr>
          <w:rFonts w:ascii="宋体" w:hAnsi="宋体" w:cs="Times New Roman"/>
          <w:sz w:val="24"/>
          <w:szCs w:val="24"/>
          <w:highlight w:val="white"/>
        </w:rPr>
      </w:pPr>
    </w:p>
    <w:p w14:paraId="1257C31A"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（三）基金份额净值错误的处理方式</w:t>
      </w:r>
    </w:p>
    <w:p w14:paraId="4BE47F35" w14:textId="0C1894A0"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基金管理人和基金托管人将采取必要、适当、合理的措施确保基金资产估</w:t>
      </w:r>
      <w:r>
        <w:rPr>
          <w:rFonts w:ascii="宋体" w:hAnsi="宋体" w:cs="Times New Roman"/>
          <w:sz w:val="24"/>
          <w:szCs w:val="24"/>
          <w:highlight w:val="white"/>
        </w:rPr>
        <w:lastRenderedPageBreak/>
        <w:t>值的准确性、及时性。当</w:t>
      </w:r>
      <w:r>
        <w:rPr>
          <w:rFonts w:ascii="宋体" w:hAnsi="宋体" w:cs="Times New Roman" w:hint="eastAsia"/>
          <w:sz w:val="24"/>
          <w:szCs w:val="24"/>
          <w:highlight w:val="white"/>
        </w:rPr>
        <w:t>某类</w:t>
      </w:r>
      <w:r>
        <w:rPr>
          <w:rFonts w:ascii="宋体" w:hAnsi="宋体" w:cs="Times New Roman"/>
          <w:sz w:val="24"/>
          <w:szCs w:val="24"/>
          <w:highlight w:val="white"/>
        </w:rPr>
        <w:t>基金份额</w:t>
      </w:r>
      <w:r>
        <w:rPr>
          <w:rFonts w:ascii="宋体" w:hAnsi="宋体" w:cs="Times New Roman" w:hint="eastAsia"/>
          <w:sz w:val="24"/>
          <w:szCs w:val="24"/>
          <w:highlight w:val="white"/>
        </w:rPr>
        <w:t>的基金份额</w:t>
      </w:r>
      <w:r>
        <w:rPr>
          <w:rFonts w:ascii="宋体" w:hAnsi="宋体" w:cs="Times New Roman"/>
          <w:sz w:val="24"/>
          <w:szCs w:val="24"/>
          <w:highlight w:val="white"/>
        </w:rPr>
        <w:t>净值小数点后4位以内（含第4位）发生估值错误时，视为</w:t>
      </w:r>
      <w:r>
        <w:rPr>
          <w:rFonts w:ascii="宋体" w:hAnsi="宋体" w:cs="Times New Roman" w:hint="eastAsia"/>
          <w:sz w:val="24"/>
          <w:szCs w:val="24"/>
          <w:highlight w:val="white"/>
        </w:rPr>
        <w:t>该类</w:t>
      </w:r>
      <w:r>
        <w:rPr>
          <w:rFonts w:ascii="宋体" w:hAnsi="宋体" w:cs="Times New Roman"/>
          <w:sz w:val="24"/>
          <w:szCs w:val="24"/>
          <w:highlight w:val="white"/>
        </w:rPr>
        <w:t>基金份额净值错误。</w:t>
      </w:r>
    </w:p>
    <w:p w14:paraId="17F0E807"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基金合同的当事人应按照以下约定处理：</w:t>
      </w:r>
    </w:p>
    <w:p w14:paraId="10020ADF"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1、估值错误类型</w:t>
      </w:r>
    </w:p>
    <w:p w14:paraId="3967B493" w14:textId="4AD38193"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r>
        <w:rPr>
          <w:rFonts w:ascii="宋体" w:hAnsi="宋体" w:cs="Times New Roman"/>
          <w:sz w:val="24"/>
          <w:szCs w:val="24"/>
          <w:highlight w:val="white"/>
        </w:rPr>
        <w:t>。</w:t>
      </w:r>
    </w:p>
    <w:p w14:paraId="5A8741A5" w14:textId="77777777" w:rsidR="00232224"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上述估值错误的主要类型包括但不限于：资料申报差错、数据传输差错、数据计算差错、系统故障差错、下达指令差错等。</w:t>
      </w:r>
    </w:p>
    <w:p w14:paraId="11EE3368" w14:textId="77777777" w:rsidR="00232224"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2、估值错误处理原则</w:t>
      </w:r>
    </w:p>
    <w:p w14:paraId="7A36D5CC" w14:textId="77777777" w:rsidR="00232224"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4B4FC15" w14:textId="77777777" w:rsidR="00232224"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（2）估值错误的责任方对有关当事人的直接损失负责，不对间接损失负责，并且仅对估值错误的有关直接当事人负责，不对第三方负责。</w:t>
      </w:r>
    </w:p>
    <w:p w14:paraId="4E37669A" w14:textId="77777777" w:rsidR="00232224"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（3）因估值错误而获得不当得利的当事人负有及时返还不当得利的义务。但估值错误责任方仍应对估值错误负责。如果由于获得不当得利的当事人</w:t>
      </w:r>
      <w:proofErr w:type="gramStart"/>
      <w:r>
        <w:rPr>
          <w:rFonts w:ascii="宋体" w:hAnsi="宋体" w:cs="Times New Roman" w:hint="eastAsia"/>
          <w:sz w:val="24"/>
          <w:szCs w:val="24"/>
        </w:rPr>
        <w:t>不</w:t>
      </w:r>
      <w:proofErr w:type="gramEnd"/>
      <w:r>
        <w:rPr>
          <w:rFonts w:ascii="宋体" w:hAnsi="宋体" w:cs="Times New Roman" w:hint="eastAsia"/>
          <w:sz w:val="24"/>
          <w:szCs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E680BE5" w14:textId="77777777" w:rsidR="00232224"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（4）估值错误调整采用尽量恢复至假设未发生估值错误的正确情形的方式。</w:t>
      </w:r>
    </w:p>
    <w:p w14:paraId="389D23E3" w14:textId="77777777" w:rsidR="00232224"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lastRenderedPageBreak/>
        <w:t>3、估值错误处理程序</w:t>
      </w:r>
    </w:p>
    <w:p w14:paraId="7F76912E" w14:textId="77777777" w:rsidR="00232224"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估值错误被发现后，有关的当事人应当及时进行处理，处理的程序如下：</w:t>
      </w:r>
    </w:p>
    <w:p w14:paraId="02AC8A20" w14:textId="77777777" w:rsidR="00232224"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（1）查明估值错误发生的原因，列明所有的当事人，并根据估值错误发生的原因确定估值错误的责任方；</w:t>
      </w:r>
    </w:p>
    <w:p w14:paraId="303B9D35" w14:textId="77777777" w:rsidR="00232224"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（2）根据估值错误处理原则或当事人协商的方法对因估值错误造成的损失进行评估；</w:t>
      </w:r>
    </w:p>
    <w:p w14:paraId="7A0ABAD7" w14:textId="77777777" w:rsidR="00232224"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（3）根据估值错误处理原则或当事人协商的方法由估值错误的责任方进行更正和赔偿损失；</w:t>
      </w:r>
    </w:p>
    <w:p w14:paraId="08AED0FB" w14:textId="77777777" w:rsidR="00232224"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（4）根据估值错误处理的方法，需要修改基金登记机构交易数据的，由基金登记机构进行更正，并就估值错误的更正向有关当事人进行确认。</w:t>
      </w:r>
    </w:p>
    <w:p w14:paraId="3593DEDD" w14:textId="77777777" w:rsidR="00232224"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4、基金份额净值估值错误处理的方法如下：</w:t>
      </w:r>
    </w:p>
    <w:p w14:paraId="04D9882D" w14:textId="77777777" w:rsidR="00232224"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（1）基金份额净值计算出现错误时，基金管理人应当立即予以纠正，通报基金托管人，并采取合理的措施防止损失进一步扩大。</w:t>
      </w:r>
    </w:p>
    <w:p w14:paraId="2849C931" w14:textId="77777777" w:rsidR="00232224"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（2）任一类基金份额的错误偏差达到该类基金份额净值的0.25%时，基金管理人应当通报基金托管人并报中国证监会备案；错误偏差达到该类基金份额净值的0.5%时，基金管理人应当公告，并报中国证监会备案。</w:t>
      </w:r>
    </w:p>
    <w:p w14:paraId="31B82209" w14:textId="77777777" w:rsidR="00232224"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3）当各类基金份额的基金份额净值计算差错给基金和基金份额持有人造成损失需要进行赔偿时，由基金管理人对各类基金份额的基金份额持有人或者基金先行支付赔偿金，基金管理人和基金托管人应根据实际情况界定双方承担的责任，经确认后按以下条款进行赔偿：</w:t>
      </w:r>
    </w:p>
    <w:p w14:paraId="7FFE86D0" w14:textId="77777777" w:rsidR="00232224"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①本基金的基金会计责任方由基金管理人担任，与本基金有关的会计问题，如经双方在平等基础上充分讨论后，尚不能达成一致时，按基金管理人的建议执行，由此给各类基金份额的基金份额持有人和基金财产造成的损失，由基金管理人负责赔付。</w:t>
      </w:r>
    </w:p>
    <w:p w14:paraId="6286C7B5" w14:textId="77777777" w:rsidR="00232224"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②</w:t>
      </w:r>
      <w:proofErr w:type="gramStart"/>
      <w:r>
        <w:rPr>
          <w:rFonts w:ascii="宋体" w:hAnsi="宋体" w:cs="Times New Roman" w:hint="eastAsia"/>
          <w:sz w:val="24"/>
          <w:szCs w:val="24"/>
        </w:rPr>
        <w:t>若基金</w:t>
      </w:r>
      <w:proofErr w:type="gramEnd"/>
      <w:r>
        <w:rPr>
          <w:rFonts w:ascii="宋体" w:hAnsi="宋体" w:cs="Times New Roman" w:hint="eastAsia"/>
          <w:sz w:val="24"/>
          <w:szCs w:val="24"/>
        </w:rPr>
        <w:t>管理人计算的各类基金份额的基金份额净值已由基金托管人复核确认后公告，而且基金托管人在复核过程中没有发现错误，各类基金份额的基金份额净值出错且给各类基金份额持有人造成损失的，应根据法律法规的规定对投资者或基金支付赔偿金，就实际向投资者或基金支付的赔偿金额，基金管理人与基金托管人按照过错程度各自承担相应的责任。</w:t>
      </w:r>
    </w:p>
    <w:p w14:paraId="67A84531" w14:textId="77777777" w:rsidR="00232224"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lastRenderedPageBreak/>
        <w:t>③如基金管理人和基金托管人对各类基金份额的基金份额净值的计算结果，虽然多次重新计算和核对，尚不能达成一致时，为避免不能按时公布各类基金份额的基金份额净值的情形，以基金管理人的计算结果对外公布，由此给各类基金份额的基金份额持有人和基金造成的损失以及因该交易日基金资产净值计算顺延错误而引起的损失，由基金管理人负责赔付。</w:t>
      </w:r>
    </w:p>
    <w:p w14:paraId="3D734BDB" w14:textId="77777777" w:rsidR="00232224"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 xml:space="preserve">④由于基金管理人提供的信息错误（包括但不限于基金申购或赎回金额等），进而导致各类基金份额的基金份额净值计算错误而引起的各类基金份额持有人和基金财产的损失，由基金管理人负责赔付。 </w:t>
      </w:r>
    </w:p>
    <w:p w14:paraId="0B31EF59" w14:textId="77777777" w:rsidR="00232224"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（4）基金管理人和基金托管人由于各自技术系统设置而产生的净值计算尾差，以基金管理人计算结果为准。</w:t>
      </w:r>
    </w:p>
    <w:p w14:paraId="430E0AD6" w14:textId="18F1896C"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rPr>
        <w:t>（5）前述内容如法律法规或监管机关另有规定的，从其规定处理。</w:t>
      </w:r>
    </w:p>
    <w:p w14:paraId="0CC2948E" w14:textId="77777777" w:rsidR="00232224" w:rsidRDefault="00000000">
      <w:pPr>
        <w:spacing w:line="360" w:lineRule="auto"/>
        <w:ind w:firstLineChars="200" w:firstLine="480"/>
        <w:rPr>
          <w:rFonts w:ascii="宋体" w:hAnsi="宋体" w:cs="Times New Roman"/>
          <w:sz w:val="24"/>
          <w:szCs w:val="24"/>
          <w:highlight w:val="white"/>
        </w:rPr>
      </w:pPr>
      <w:bookmarkStart w:id="79" w:name="OLE_LINK6"/>
      <w:bookmarkStart w:id="80" w:name="OLE_LINK5"/>
      <w:bookmarkEnd w:id="79"/>
      <w:bookmarkEnd w:id="80"/>
      <w:r>
        <w:rPr>
          <w:rFonts w:ascii="宋体" w:hAnsi="宋体" w:cs="Times New Roman" w:hint="eastAsia"/>
          <w:sz w:val="24"/>
          <w:szCs w:val="24"/>
          <w:highlight w:val="white"/>
        </w:rPr>
        <w:t>（四）暂停估值的情形</w:t>
      </w:r>
    </w:p>
    <w:p w14:paraId="1FC9B2C7" w14:textId="0531A52B"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1、基金投资所涉及的证券</w:t>
      </w:r>
      <w:r>
        <w:rPr>
          <w:rFonts w:ascii="宋体" w:hAnsi="宋体" w:cs="Times New Roman" w:hint="eastAsia"/>
          <w:sz w:val="24"/>
          <w:szCs w:val="24"/>
          <w:highlight w:val="white"/>
        </w:rPr>
        <w:t>、期货</w:t>
      </w:r>
      <w:r>
        <w:rPr>
          <w:rFonts w:ascii="宋体" w:hAnsi="宋体" w:cs="Times New Roman"/>
          <w:sz w:val="24"/>
          <w:szCs w:val="24"/>
          <w:highlight w:val="white"/>
        </w:rPr>
        <w:t>交易市场</w:t>
      </w:r>
      <w:r>
        <w:rPr>
          <w:rFonts w:ascii="宋体" w:hAnsi="宋体" w:cs="Times New Roman" w:hint="eastAsia"/>
          <w:sz w:val="24"/>
          <w:szCs w:val="24"/>
          <w:highlight w:val="white"/>
        </w:rPr>
        <w:t>、外汇市场</w:t>
      </w:r>
      <w:r>
        <w:rPr>
          <w:rFonts w:ascii="宋体" w:hAnsi="宋体" w:cs="Times New Roman"/>
          <w:sz w:val="24"/>
          <w:szCs w:val="24"/>
          <w:highlight w:val="white"/>
        </w:rPr>
        <w:t>遇法定节假日或因其他原因暂停营业</w:t>
      </w:r>
      <w:r>
        <w:rPr>
          <w:rFonts w:ascii="宋体" w:hAnsi="宋体" w:cs="Times New Roman" w:hint="eastAsia"/>
          <w:sz w:val="24"/>
          <w:szCs w:val="24"/>
          <w:highlight w:val="white"/>
        </w:rPr>
        <w:t>或港股</w:t>
      </w:r>
      <w:proofErr w:type="gramStart"/>
      <w:r>
        <w:rPr>
          <w:rFonts w:ascii="宋体" w:hAnsi="宋体" w:cs="Times New Roman" w:hint="eastAsia"/>
          <w:sz w:val="24"/>
          <w:szCs w:val="24"/>
          <w:highlight w:val="white"/>
        </w:rPr>
        <w:t>通临时</w:t>
      </w:r>
      <w:proofErr w:type="gramEnd"/>
      <w:r>
        <w:rPr>
          <w:rFonts w:ascii="宋体" w:hAnsi="宋体" w:cs="Times New Roman" w:hint="eastAsia"/>
          <w:sz w:val="24"/>
          <w:szCs w:val="24"/>
          <w:highlight w:val="white"/>
        </w:rPr>
        <w:t>停市时</w:t>
      </w:r>
      <w:r>
        <w:rPr>
          <w:rFonts w:ascii="宋体" w:hAnsi="宋体" w:cs="Times New Roman"/>
          <w:sz w:val="24"/>
          <w:szCs w:val="24"/>
          <w:highlight w:val="white"/>
        </w:rPr>
        <w:t>；</w:t>
      </w:r>
    </w:p>
    <w:p w14:paraId="17DC2FB2"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2、因不可抗力致使基金管理人、基金托管人无法准确评估基金资产价值时；</w:t>
      </w:r>
    </w:p>
    <w:p w14:paraId="751E8A5D"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3、当特定资产占前一估值日基金资产净值50%以上的，经与基金托管人协商确认后，基金管理人应当暂停估值；</w:t>
      </w:r>
    </w:p>
    <w:p w14:paraId="2FAF15A9"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4、中国证监会和</w:t>
      </w:r>
      <w:r>
        <w:rPr>
          <w:rFonts w:ascii="宋体" w:hAnsi="宋体" w:cs="Times New Roman" w:hint="eastAsia"/>
          <w:sz w:val="24"/>
          <w:szCs w:val="24"/>
          <w:highlight w:val="white"/>
        </w:rPr>
        <w:t>《</w:t>
      </w:r>
      <w:r>
        <w:rPr>
          <w:rFonts w:ascii="宋体" w:hAnsi="宋体" w:cs="Times New Roman"/>
          <w:sz w:val="24"/>
          <w:szCs w:val="24"/>
          <w:highlight w:val="white"/>
        </w:rPr>
        <w:t>基金合同</w:t>
      </w:r>
      <w:r>
        <w:rPr>
          <w:rFonts w:ascii="宋体" w:hAnsi="宋体" w:cs="Times New Roman" w:hint="eastAsia"/>
          <w:sz w:val="24"/>
          <w:szCs w:val="24"/>
          <w:highlight w:val="white"/>
        </w:rPr>
        <w:t>》</w:t>
      </w:r>
      <w:r>
        <w:rPr>
          <w:rFonts w:ascii="宋体" w:hAnsi="宋体" w:cs="Times New Roman"/>
          <w:sz w:val="24"/>
          <w:szCs w:val="24"/>
          <w:highlight w:val="white"/>
        </w:rPr>
        <w:t>认定的其它情形。</w:t>
      </w:r>
    </w:p>
    <w:p w14:paraId="6ADEC23E"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（五）特殊情形的处理</w:t>
      </w:r>
    </w:p>
    <w:p w14:paraId="7ECEBA28" w14:textId="1F8500CA"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1</w:t>
      </w:r>
      <w:r>
        <w:rPr>
          <w:rFonts w:ascii="宋体" w:hAnsi="宋体" w:cs="Times New Roman" w:hint="eastAsia"/>
          <w:sz w:val="24"/>
          <w:szCs w:val="24"/>
          <w:highlight w:val="white"/>
        </w:rPr>
        <w:t>、基金管理人或基金托管人按本协议约定的估值方法的第</w:t>
      </w:r>
      <w:r>
        <w:rPr>
          <w:rFonts w:ascii="宋体" w:hAnsi="宋体" w:cs="Times New Roman"/>
          <w:sz w:val="24"/>
          <w:szCs w:val="24"/>
          <w:highlight w:val="white"/>
        </w:rPr>
        <w:t>8</w:t>
      </w:r>
      <w:r>
        <w:rPr>
          <w:rFonts w:ascii="宋体" w:hAnsi="宋体" w:cs="Times New Roman" w:hint="eastAsia"/>
          <w:sz w:val="24"/>
          <w:szCs w:val="24"/>
          <w:highlight w:val="white"/>
        </w:rPr>
        <w:t>项进行估值时，所造成的误差不作为基金资产估值错误处理；</w:t>
      </w:r>
    </w:p>
    <w:p w14:paraId="5BC897A0" w14:textId="2C7F43F6"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2</w:t>
      </w:r>
      <w:r>
        <w:rPr>
          <w:rFonts w:ascii="宋体" w:hAnsi="宋体" w:cs="Times New Roman" w:hint="eastAsia"/>
          <w:sz w:val="24"/>
          <w:szCs w:val="24"/>
          <w:highlight w:val="white"/>
        </w:rPr>
        <w:t>、由于有关会计制度变化或不可抗力原因，或由于证券、期货交易所、外汇市场、登记结算公司、证券经纪机构、期货经纪机构、存款银行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396DC225"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（六）基金会计制度</w:t>
      </w:r>
    </w:p>
    <w:p w14:paraId="42BDEA4C"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按国家有关部门制定的会计制度执行。</w:t>
      </w:r>
    </w:p>
    <w:p w14:paraId="0AD22BD2"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lastRenderedPageBreak/>
        <w:t>（七）基金账册的建立</w:t>
      </w:r>
    </w:p>
    <w:p w14:paraId="3BE7D255"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基金管理人和基金托管人在《基金合同》生效后，应按照双方约定的同一记账方法和会计处理原则，分别独立地设置、登录和保管本基金的全套账册，对双方各自的账册定期进行核对，互相监督，以保证基金财产的安全。若双方对会计处理方法存在分歧，应以基金管理人的处理方法为准，为避免不能按时公布基金份额净值的情形，由此给基金份额持有人和基金造成的损失，由基金管理人负责赔付。</w:t>
      </w:r>
    </w:p>
    <w:p w14:paraId="1D893BB9"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（八）基金定期报告的编制和复核</w:t>
      </w:r>
    </w:p>
    <w:p w14:paraId="34C4F5E9" w14:textId="295F000C"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基金财务报表由基金管理人和基金托管人分别独立编制。定期报告文件应按中国证监会的要求公告。《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季度报告的编制，应于季度结束之日起</w:t>
      </w:r>
      <w:r>
        <w:rPr>
          <w:rFonts w:ascii="宋体" w:hAnsi="宋体" w:cs="Times New Roman"/>
          <w:sz w:val="24"/>
          <w:szCs w:val="24"/>
          <w:highlight w:val="white"/>
        </w:rPr>
        <w:t>15</w:t>
      </w:r>
      <w:r>
        <w:rPr>
          <w:rFonts w:ascii="宋体" w:hAnsi="宋体" w:cs="Times New Roman" w:hint="eastAsia"/>
          <w:sz w:val="24"/>
          <w:szCs w:val="24"/>
          <w:highlight w:val="white"/>
        </w:rPr>
        <w:t>个工作日内完成并公告。基金中期报告在上半年结束之日起两个月内编制完成、登载在规定网站上、中期报告提示性公告登载在规定报刊上；年度报告在年度结束之日起三个月内，编制完成，并将年度报告登载在规定网站上、年度报告提示性公告登载在规定报刊上。基金合同生效不足两个月的，基金管理人可以不编制当期季度报告、中期报告或者年度报告。</w:t>
      </w:r>
    </w:p>
    <w:p w14:paraId="031AACFC"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基金管理人在季度报告完成当日，以约定方式将有关报告提供基金托管人；基金托管人在</w:t>
      </w:r>
      <w:r>
        <w:rPr>
          <w:rFonts w:ascii="宋体" w:hAnsi="宋体" w:cs="Times New Roman"/>
          <w:sz w:val="24"/>
          <w:szCs w:val="24"/>
          <w:highlight w:val="white"/>
        </w:rPr>
        <w:t>5</w:t>
      </w:r>
      <w:r>
        <w:rPr>
          <w:rFonts w:ascii="宋体" w:hAnsi="宋体" w:cs="Times New Roman" w:hint="eastAsia"/>
          <w:sz w:val="24"/>
          <w:szCs w:val="24"/>
          <w:highlight w:val="white"/>
        </w:rPr>
        <w:t>个工作日内进行复核，并将复核结果反馈给基金管理人。基金管理人在更新招募说明书完成当日，将有关报告提供基金托管人，基金托管人应当及时进行复核，并将复核结果反馈给基金管理人。基金管理人在中期报告完成当日，将有关报告提供基金托管人，基金托管人在收到后</w:t>
      </w:r>
      <w:r>
        <w:rPr>
          <w:rFonts w:ascii="宋体" w:hAnsi="宋体" w:cs="Times New Roman"/>
          <w:sz w:val="24"/>
          <w:szCs w:val="24"/>
          <w:highlight w:val="white"/>
        </w:rPr>
        <w:t>20</w:t>
      </w:r>
      <w:r>
        <w:rPr>
          <w:rFonts w:ascii="宋体" w:hAnsi="宋体" w:cs="Times New Roman" w:hint="eastAsia"/>
          <w:sz w:val="24"/>
          <w:szCs w:val="24"/>
          <w:highlight w:val="white"/>
        </w:rPr>
        <w:t>日内进行复核，并将复核结果反馈给基金管理人。基金管理人在年度报告完成当日，将有关报告提供基金托管人，基金托管人在收到后</w:t>
      </w:r>
      <w:r>
        <w:rPr>
          <w:rFonts w:ascii="宋体" w:hAnsi="宋体" w:cs="Times New Roman"/>
          <w:sz w:val="24"/>
          <w:szCs w:val="24"/>
          <w:highlight w:val="white"/>
        </w:rPr>
        <w:t>30</w:t>
      </w:r>
      <w:r>
        <w:rPr>
          <w:rFonts w:ascii="宋体" w:hAnsi="宋体" w:cs="Times New Roman" w:hint="eastAsia"/>
          <w:sz w:val="24"/>
          <w:szCs w:val="24"/>
          <w:highlight w:val="white"/>
        </w:rPr>
        <w:t>日内复核，并将复核结果反馈给基金管理人。基金托管人在复核过程中，发现双方的报表存在不符时，基金管理人和基金托管人应共同查明原因，进行调整，调整以双方认可的账务处理方式为准。如果基金管理人与基金托管人不能</w:t>
      </w:r>
      <w:proofErr w:type="gramStart"/>
      <w:r>
        <w:rPr>
          <w:rFonts w:ascii="宋体" w:hAnsi="宋体" w:cs="Times New Roman" w:hint="eastAsia"/>
          <w:sz w:val="24"/>
          <w:szCs w:val="24"/>
          <w:highlight w:val="white"/>
        </w:rPr>
        <w:t>于应当</w:t>
      </w:r>
      <w:proofErr w:type="gramEnd"/>
      <w:r>
        <w:rPr>
          <w:rFonts w:ascii="宋体" w:hAnsi="宋体" w:cs="Times New Roman" w:hint="eastAsia"/>
          <w:sz w:val="24"/>
          <w:szCs w:val="24"/>
          <w:highlight w:val="white"/>
        </w:rPr>
        <w:t>发布公告之日前就相关报表达成一致，基金管理人有权按照其编制的报表对外发布公告，基金托管人有权就</w:t>
      </w:r>
      <w:r>
        <w:rPr>
          <w:rFonts w:ascii="宋体" w:hAnsi="宋体" w:cs="Times New Roman" w:hint="eastAsia"/>
          <w:sz w:val="24"/>
          <w:szCs w:val="24"/>
          <w:highlight w:val="white"/>
        </w:rPr>
        <w:lastRenderedPageBreak/>
        <w:t>相关情况报中国证监会备案。</w:t>
      </w:r>
    </w:p>
    <w:p w14:paraId="316B0202"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基金托管人在对财务报表、季度报告、中期报告或年度报告复核完毕后，可以出具复核确认书（盖章）或以其他双方约定的方式确认，以</w:t>
      </w:r>
      <w:proofErr w:type="gramStart"/>
      <w:r>
        <w:rPr>
          <w:rFonts w:ascii="宋体" w:hAnsi="宋体" w:cs="Times New Roman" w:hint="eastAsia"/>
          <w:sz w:val="24"/>
          <w:szCs w:val="24"/>
          <w:highlight w:val="white"/>
        </w:rPr>
        <w:t>备有权</w:t>
      </w:r>
      <w:proofErr w:type="gramEnd"/>
      <w:r>
        <w:rPr>
          <w:rFonts w:ascii="宋体" w:hAnsi="宋体" w:cs="Times New Roman" w:hint="eastAsia"/>
          <w:sz w:val="24"/>
          <w:szCs w:val="24"/>
          <w:highlight w:val="white"/>
        </w:rPr>
        <w:t>机构对相关文件审核检查。</w:t>
      </w:r>
      <w:bookmarkStart w:id="81" w:name="_Toc508720687"/>
      <w:bookmarkStart w:id="82" w:name="_Toc125892445"/>
      <w:bookmarkStart w:id="83" w:name="_Toc22454461"/>
      <w:bookmarkStart w:id="84" w:name="_Toc523830000"/>
      <w:bookmarkStart w:id="85" w:name="_Toc466788859"/>
      <w:bookmarkEnd w:id="81"/>
      <w:bookmarkEnd w:id="82"/>
      <w:bookmarkEnd w:id="83"/>
      <w:bookmarkEnd w:id="84"/>
      <w:bookmarkEnd w:id="85"/>
    </w:p>
    <w:p w14:paraId="7138E4FC" w14:textId="77777777" w:rsidR="00232224" w:rsidRDefault="00000000">
      <w:pPr>
        <w:pStyle w:val="112"/>
        <w:spacing w:beforeLines="100" w:before="312" w:beforeAutospacing="0" w:afterLines="50" w:after="156" w:afterAutospacing="0" w:line="360" w:lineRule="auto"/>
        <w:jc w:val="center"/>
        <w:rPr>
          <w:rFonts w:ascii="Times New Roman" w:hAnsi="Times New Roman" w:cs="Times New Roman"/>
          <w:sz w:val="28"/>
        </w:rPr>
      </w:pPr>
      <w:bookmarkStart w:id="86" w:name="_Toc105597619"/>
      <w:r>
        <w:rPr>
          <w:rFonts w:ascii="Times New Roman" w:hAnsi="Times New Roman" w:cs="Times New Roman" w:hint="eastAsia"/>
          <w:sz w:val="28"/>
        </w:rPr>
        <w:t>九、基金收益分配</w:t>
      </w:r>
      <w:bookmarkEnd w:id="86"/>
    </w:p>
    <w:p w14:paraId="2EB59BB9"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基金收益分配是指将同一基金份额类别的可分配收益根据该类别基金份额持有人持有基金份额的数量按比例进行分配。</w:t>
      </w:r>
    </w:p>
    <w:p w14:paraId="0823CB92" w14:textId="77777777" w:rsidR="00232224" w:rsidRDefault="00000000">
      <w:pPr>
        <w:spacing w:line="360" w:lineRule="auto"/>
        <w:ind w:firstLineChars="200" w:firstLine="480"/>
        <w:rPr>
          <w:rFonts w:ascii="宋体" w:hAnsi="宋体" w:cs="Times New Roman"/>
          <w:sz w:val="24"/>
          <w:szCs w:val="24"/>
          <w:highlight w:val="white"/>
        </w:rPr>
      </w:pPr>
      <w:bookmarkStart w:id="87" w:name="_Toc523830002"/>
      <w:bookmarkStart w:id="88" w:name="_Toc508720688"/>
      <w:bookmarkStart w:id="89" w:name="_Toc125892446"/>
      <w:bookmarkStart w:id="90" w:name="_Toc466788861"/>
      <w:bookmarkStart w:id="91" w:name="_Toc22454465"/>
      <w:bookmarkEnd w:id="87"/>
      <w:bookmarkEnd w:id="88"/>
      <w:bookmarkEnd w:id="89"/>
      <w:bookmarkEnd w:id="90"/>
      <w:bookmarkEnd w:id="91"/>
      <w:r>
        <w:rPr>
          <w:rFonts w:ascii="宋体" w:hAnsi="宋体" w:cs="Times New Roman" w:hint="eastAsia"/>
          <w:sz w:val="24"/>
          <w:szCs w:val="24"/>
          <w:highlight w:val="white"/>
        </w:rPr>
        <w:t>（一）基金收益分配应该符合基金合同中收益分配原则的规定，具体规定如下：</w:t>
      </w:r>
    </w:p>
    <w:p w14:paraId="60455ED4" w14:textId="3782A82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1、在符合有关基金分红条件的前提下，基金管理人可以根据实际情况进行收益分配，具体分配方案以</w:t>
      </w:r>
      <w:r>
        <w:rPr>
          <w:rFonts w:ascii="宋体" w:hAnsi="宋体" w:cs="Times New Roman" w:hint="eastAsia"/>
          <w:sz w:val="24"/>
          <w:szCs w:val="24"/>
        </w:rPr>
        <w:t>届时基金管理人发布的</w:t>
      </w:r>
      <w:r>
        <w:rPr>
          <w:rFonts w:ascii="宋体" w:hAnsi="宋体" w:cs="Times New Roman"/>
          <w:sz w:val="24"/>
          <w:szCs w:val="24"/>
          <w:highlight w:val="white"/>
        </w:rPr>
        <w:t>公告为准，</w:t>
      </w:r>
      <w:proofErr w:type="gramStart"/>
      <w:r>
        <w:rPr>
          <w:rFonts w:ascii="宋体" w:hAnsi="宋体" w:cs="Times New Roman"/>
          <w:sz w:val="24"/>
          <w:szCs w:val="24"/>
          <w:highlight w:val="white"/>
        </w:rPr>
        <w:t>若基金</w:t>
      </w:r>
      <w:proofErr w:type="gramEnd"/>
      <w:r>
        <w:rPr>
          <w:rFonts w:ascii="宋体" w:hAnsi="宋体" w:cs="Times New Roman"/>
          <w:sz w:val="24"/>
          <w:szCs w:val="24"/>
          <w:highlight w:val="white"/>
        </w:rPr>
        <w:t>合同生效不满3个月可不进行收益分配；</w:t>
      </w:r>
    </w:p>
    <w:p w14:paraId="6053CD18" w14:textId="2A79B450"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2、</w:t>
      </w:r>
      <w:r>
        <w:rPr>
          <w:rFonts w:ascii="宋体" w:hAnsi="宋体" w:cs="Times New Roman" w:hint="eastAsia"/>
          <w:sz w:val="24"/>
          <w:szCs w:val="24"/>
        </w:rPr>
        <w:t>本基金收益分配方式分两种：现金分红与红利再投资，投资者可选择现金红利或将现金红利自动转为对应类别基金份额进行再投资；若投资者不选择，本基金各类份额默认的收益分配方式是现金分红；本基金不同份额类别基金份额，其分红方式相互独立、互不影响；投资者不同基金交易账户设置的基金分红方式相互独立、互不影响</w:t>
      </w:r>
      <w:r>
        <w:rPr>
          <w:rFonts w:ascii="宋体" w:hAnsi="宋体" w:cs="Times New Roman"/>
          <w:sz w:val="24"/>
          <w:szCs w:val="24"/>
          <w:highlight w:val="white"/>
        </w:rPr>
        <w:t>；</w:t>
      </w:r>
    </w:p>
    <w:p w14:paraId="09F00902" w14:textId="1A073A3B"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3、基金收益分配后基金份额净值不能低于面值</w:t>
      </w:r>
      <w:r>
        <w:rPr>
          <w:rFonts w:ascii="宋体" w:hAnsi="宋体" w:cs="Times New Roman" w:hint="eastAsia"/>
          <w:sz w:val="24"/>
          <w:szCs w:val="24"/>
          <w:highlight w:val="white"/>
        </w:rPr>
        <w:t>，</w:t>
      </w:r>
      <w:r>
        <w:rPr>
          <w:rFonts w:ascii="宋体" w:hAnsi="宋体" w:cs="Times New Roman"/>
          <w:sz w:val="24"/>
          <w:szCs w:val="24"/>
          <w:highlight w:val="white"/>
        </w:rPr>
        <w:t>即基金收益分配基准日的</w:t>
      </w:r>
      <w:r>
        <w:rPr>
          <w:rFonts w:ascii="宋体" w:hAnsi="宋体" w:cs="Times New Roman" w:hint="eastAsia"/>
          <w:sz w:val="24"/>
          <w:szCs w:val="24"/>
          <w:highlight w:val="white"/>
        </w:rPr>
        <w:t>某一类</w:t>
      </w:r>
      <w:r>
        <w:rPr>
          <w:rFonts w:ascii="宋体" w:hAnsi="宋体" w:cs="Times New Roman"/>
          <w:sz w:val="24"/>
          <w:szCs w:val="24"/>
          <w:highlight w:val="white"/>
        </w:rPr>
        <w:t>基金份额净值减去</w:t>
      </w:r>
      <w:r>
        <w:rPr>
          <w:rFonts w:ascii="宋体" w:hAnsi="宋体" w:cs="Times New Roman" w:hint="eastAsia"/>
          <w:sz w:val="24"/>
          <w:szCs w:val="24"/>
          <w:highlight w:val="white"/>
        </w:rPr>
        <w:t>该类份额</w:t>
      </w:r>
      <w:r>
        <w:rPr>
          <w:rFonts w:ascii="宋体" w:hAnsi="宋体" w:cs="Times New Roman"/>
          <w:sz w:val="24"/>
          <w:szCs w:val="24"/>
          <w:highlight w:val="white"/>
        </w:rPr>
        <w:t>每单位基金份额收益分配金额后不能低于面值；</w:t>
      </w:r>
    </w:p>
    <w:p w14:paraId="58964BCB" w14:textId="2251A2C2"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4、同一类别的每一基金份额享有同等分配权；</w:t>
      </w:r>
    </w:p>
    <w:p w14:paraId="1344C776" w14:textId="69B8C6B3"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5、</w:t>
      </w:r>
      <w:r>
        <w:rPr>
          <w:rFonts w:ascii="宋体" w:hAnsi="宋体" w:cs="Times New Roman" w:hint="eastAsia"/>
          <w:sz w:val="24"/>
          <w:szCs w:val="24"/>
        </w:rPr>
        <w:t>法律法规或监管机关另有规定的，从其规定。</w:t>
      </w:r>
      <w:r>
        <w:rPr>
          <w:rFonts w:ascii="宋体" w:hAnsi="宋体" w:cs="Times New Roman"/>
          <w:sz w:val="24"/>
          <w:szCs w:val="24"/>
          <w:highlight w:val="white"/>
        </w:rPr>
        <w:t>在</w:t>
      </w:r>
      <w:r>
        <w:rPr>
          <w:rFonts w:ascii="宋体" w:hAnsi="宋体" w:cs="Times New Roman" w:hint="eastAsia"/>
          <w:sz w:val="24"/>
          <w:szCs w:val="24"/>
          <w:highlight w:val="white"/>
        </w:rPr>
        <w:t>符合法律法规及基金合同约定，并</w:t>
      </w:r>
      <w:r>
        <w:rPr>
          <w:rFonts w:ascii="宋体" w:hAnsi="宋体" w:cs="Times New Roman"/>
          <w:sz w:val="24"/>
          <w:szCs w:val="24"/>
          <w:highlight w:val="white"/>
        </w:rPr>
        <w:t>对基金份额持有人利益无实质不利影响的前提下，基金管理人可</w:t>
      </w:r>
      <w:r>
        <w:rPr>
          <w:rFonts w:ascii="宋体" w:hAnsi="宋体" w:cs="Times New Roman" w:hint="eastAsia"/>
          <w:sz w:val="24"/>
          <w:szCs w:val="24"/>
          <w:highlight w:val="white"/>
        </w:rPr>
        <w:t>对</w:t>
      </w:r>
      <w:r>
        <w:rPr>
          <w:rFonts w:ascii="宋体" w:hAnsi="宋体" w:cs="Times New Roman"/>
          <w:sz w:val="24"/>
          <w:szCs w:val="24"/>
          <w:highlight w:val="white"/>
        </w:rPr>
        <w:t>基金收益分配原则和支付方式</w:t>
      </w:r>
      <w:r>
        <w:rPr>
          <w:rFonts w:ascii="宋体" w:hAnsi="宋体" w:cs="Times New Roman" w:hint="eastAsia"/>
          <w:sz w:val="24"/>
          <w:szCs w:val="24"/>
          <w:highlight w:val="white"/>
        </w:rPr>
        <w:t>进行调整</w:t>
      </w:r>
      <w:r>
        <w:rPr>
          <w:rFonts w:ascii="宋体" w:hAnsi="宋体" w:cs="Times New Roman"/>
          <w:sz w:val="24"/>
          <w:szCs w:val="24"/>
          <w:highlight w:val="white"/>
        </w:rPr>
        <w:t>，不需召开基金份额持有人大会；</w:t>
      </w:r>
    </w:p>
    <w:p w14:paraId="5BCB35E9"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（二）基金收益分配方案的确定与公告</w:t>
      </w:r>
    </w:p>
    <w:p w14:paraId="390257E8" w14:textId="08CF2DED"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本基金收益分配方案由基金管理人拟定，并由基金托管人复核，基金管理人应依照《信息披露办法》的有关规定在规定媒介公告。基金收益分配方案中载明截止收益分配基准日的可供分配利润、基金收益分配对象、分配时间、分</w:t>
      </w:r>
      <w:r>
        <w:rPr>
          <w:rFonts w:ascii="宋体" w:hAnsi="宋体" w:cs="Times New Roman" w:hint="eastAsia"/>
          <w:sz w:val="24"/>
          <w:szCs w:val="24"/>
          <w:highlight w:val="white"/>
        </w:rPr>
        <w:lastRenderedPageBreak/>
        <w:t>配数额及比例、分配方式等内容。</w:t>
      </w:r>
    </w:p>
    <w:p w14:paraId="29F32857" w14:textId="77777777" w:rsidR="00232224" w:rsidRDefault="00000000">
      <w:pPr>
        <w:pStyle w:val="112"/>
        <w:spacing w:beforeLines="100" w:before="312" w:beforeAutospacing="0" w:afterLines="50" w:after="156" w:afterAutospacing="0" w:line="360" w:lineRule="auto"/>
        <w:jc w:val="center"/>
        <w:rPr>
          <w:rFonts w:ascii="Times New Roman" w:hAnsi="Times New Roman" w:cs="Times New Roman"/>
          <w:sz w:val="28"/>
        </w:rPr>
      </w:pPr>
      <w:bookmarkStart w:id="92" w:name="_Toc105597620"/>
      <w:r>
        <w:rPr>
          <w:rFonts w:ascii="Times New Roman" w:hAnsi="Times New Roman" w:cs="Times New Roman" w:hint="eastAsia"/>
          <w:sz w:val="28"/>
        </w:rPr>
        <w:t>十、基金信息披露</w:t>
      </w:r>
      <w:bookmarkEnd w:id="92"/>
    </w:p>
    <w:p w14:paraId="705F48E6" w14:textId="77777777" w:rsidR="00232224" w:rsidRDefault="00000000">
      <w:pPr>
        <w:spacing w:line="360" w:lineRule="auto"/>
        <w:ind w:firstLineChars="200" w:firstLine="480"/>
        <w:rPr>
          <w:rFonts w:ascii="宋体" w:hAnsi="宋体" w:cs="Times New Roman"/>
          <w:sz w:val="24"/>
          <w:szCs w:val="24"/>
          <w:highlight w:val="white"/>
        </w:rPr>
      </w:pPr>
      <w:bookmarkStart w:id="93" w:name="_Toc22454466"/>
      <w:bookmarkStart w:id="94" w:name="_Toc77663026"/>
      <w:bookmarkEnd w:id="93"/>
      <w:bookmarkEnd w:id="94"/>
      <w:r>
        <w:rPr>
          <w:rFonts w:ascii="宋体" w:hAnsi="宋体" w:cs="Times New Roman" w:hint="eastAsia"/>
          <w:sz w:val="24"/>
          <w:szCs w:val="24"/>
          <w:highlight w:val="white"/>
        </w:rPr>
        <w:t>（一）保密义务</w:t>
      </w:r>
    </w:p>
    <w:p w14:paraId="127CA1B5"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除按照《基金法》、《基金合同》、《信息披露办法》及中国证监会关于基金信息披露的有关规定进行披露以外，基金管理人和基金托管人对公开披露前的基金信息、从对方获得的业务信息及其他不宜公开披露的基金信息应予保密。法律、法规另有规定的以及审计需要的除外。</w:t>
      </w:r>
    </w:p>
    <w:p w14:paraId="525463DC"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如下情况不应视为基金管理人或基金托管人违反保密义务：</w:t>
      </w:r>
    </w:p>
    <w:p w14:paraId="0A87D73A"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1</w:t>
      </w:r>
      <w:r>
        <w:rPr>
          <w:rFonts w:ascii="宋体" w:hAnsi="宋体" w:cs="Times New Roman" w:hint="eastAsia"/>
          <w:sz w:val="24"/>
          <w:szCs w:val="24"/>
          <w:highlight w:val="white"/>
        </w:rPr>
        <w:t>、非因基金管理人和基金托管人的原因导致保密信息被披露、泄露或公开；</w:t>
      </w:r>
    </w:p>
    <w:p w14:paraId="1858798E"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2</w:t>
      </w:r>
      <w:r>
        <w:rPr>
          <w:rFonts w:ascii="宋体" w:hAnsi="宋体" w:cs="Times New Roman" w:hint="eastAsia"/>
          <w:sz w:val="24"/>
          <w:szCs w:val="24"/>
          <w:highlight w:val="white"/>
        </w:rPr>
        <w:t>、基金管理人和基金托管人为遵守和服从法院判决</w:t>
      </w:r>
      <w:r>
        <w:rPr>
          <w:rFonts w:ascii="宋体" w:hAnsi="宋体" w:cs="Times New Roman" w:hint="eastAsia"/>
          <w:sz w:val="24"/>
          <w:szCs w:val="24"/>
        </w:rPr>
        <w:t>或裁定</w:t>
      </w:r>
      <w:r>
        <w:rPr>
          <w:rFonts w:ascii="宋体" w:hAnsi="宋体" w:cs="Times New Roman" w:hint="eastAsia"/>
          <w:sz w:val="24"/>
          <w:szCs w:val="24"/>
          <w:highlight w:val="white"/>
        </w:rPr>
        <w:t>、仲裁裁决或中国证监会等监管机构的命令决定所做出的信息披露或公开。</w:t>
      </w:r>
      <w:bookmarkStart w:id="95" w:name="_Toc22454467"/>
      <w:bookmarkStart w:id="96" w:name="_Toc77663027"/>
      <w:bookmarkEnd w:id="95"/>
      <w:bookmarkEnd w:id="96"/>
    </w:p>
    <w:p w14:paraId="153BF9E1"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（二）基金管理人和基金托管人在基金信息披露中的职责和信息披露程序</w:t>
      </w:r>
    </w:p>
    <w:p w14:paraId="38EDF68B"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基金管理人和基金托管人应根据相关法律、法规、《基金合同》的规定各自承担相应的信息披露职责。基金托管人和基金管理人在信息披露过程中应以保护基金份额持有人利益为宗旨，诚实信用，严守秘密。基金管理人和基金托管人负有积极配合、互相督促、彼此监督，保证其履行按照法定方式和时限披露的义务。</w:t>
      </w:r>
    </w:p>
    <w:p w14:paraId="1C18091E" w14:textId="756B32C8"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本基金信息披露的文件，包括《基金合同》规定的定期报告、临时报告、基金净值信息及中国证监会规定的其他必要的公告、文件和信息，由基金管理人拟定并公布。按有关法律法规规定和《基金合同》的约定须经基金托管人复核的信息披露文件，由基金管理人起草、并经基金托管人复核后由基金管理人公告。</w:t>
      </w:r>
    </w:p>
    <w:p w14:paraId="61227679" w14:textId="79FC6E4A"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基金托管人应按本协议第八条第（八）款的规定对相关报告进行复核。基金年度报告</w:t>
      </w:r>
      <w:r>
        <w:rPr>
          <w:rFonts w:ascii="宋体" w:hAnsi="宋体" w:cs="Times New Roman"/>
          <w:sz w:val="24"/>
          <w:szCs w:val="24"/>
          <w:highlight w:val="white"/>
        </w:rPr>
        <w:t>中的财务会计报告</w:t>
      </w:r>
      <w:proofErr w:type="gramStart"/>
      <w:r>
        <w:rPr>
          <w:rFonts w:ascii="宋体" w:hAnsi="宋体" w:cs="Times New Roman" w:hint="eastAsia"/>
          <w:sz w:val="24"/>
          <w:szCs w:val="24"/>
          <w:highlight w:val="white"/>
        </w:rPr>
        <w:t>经符合</w:t>
      </w:r>
      <w:proofErr w:type="gramEnd"/>
      <w:r>
        <w:rPr>
          <w:rFonts w:ascii="宋体" w:hAnsi="宋体" w:cs="Times New Roman" w:hint="eastAsia"/>
          <w:sz w:val="24"/>
          <w:szCs w:val="24"/>
          <w:highlight w:val="white"/>
        </w:rPr>
        <w:t>《中华人民共和国证券法》规定的会计师事务所审计后方可披露。</w:t>
      </w:r>
    </w:p>
    <w:p w14:paraId="0227F11A"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本基金的信息披露公告，必须在通过中国证监会规定媒介发布。</w:t>
      </w:r>
      <w:bookmarkStart w:id="97" w:name="_Toc466788862"/>
      <w:bookmarkEnd w:id="97"/>
    </w:p>
    <w:p w14:paraId="5159308F"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（三）暂停或延迟信息披露的情形</w:t>
      </w:r>
    </w:p>
    <w:p w14:paraId="65A8CE0B"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当出现下述如暂停估值等情况时，基金管理人和基金托管人可暂停或延迟</w:t>
      </w:r>
      <w:r>
        <w:rPr>
          <w:rFonts w:ascii="宋体" w:hAnsi="宋体" w:cs="Times New Roman" w:hint="eastAsia"/>
          <w:sz w:val="24"/>
          <w:szCs w:val="24"/>
          <w:highlight w:val="white"/>
        </w:rPr>
        <w:lastRenderedPageBreak/>
        <w:t>披露相关基金信息披露：</w:t>
      </w:r>
    </w:p>
    <w:p w14:paraId="17F562A7"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1</w:t>
      </w:r>
      <w:r>
        <w:rPr>
          <w:rFonts w:ascii="宋体" w:hAnsi="宋体" w:cs="Times New Roman" w:hint="eastAsia"/>
          <w:sz w:val="24"/>
          <w:szCs w:val="24"/>
          <w:highlight w:val="white"/>
        </w:rPr>
        <w:t>、</w:t>
      </w:r>
      <w:r>
        <w:rPr>
          <w:rFonts w:ascii="宋体" w:hAnsi="宋体" w:cs="Times New Roman" w:hint="eastAsia"/>
          <w:sz w:val="24"/>
          <w:szCs w:val="24"/>
        </w:rPr>
        <w:t>基金投资所涉及的证券、期货交易所、外汇市场遇法定节假日或因其他原因暂停营业时；</w:t>
      </w:r>
    </w:p>
    <w:p w14:paraId="3BD64E4D" w14:textId="64200152"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2、因不可抗力</w:t>
      </w:r>
      <w:r>
        <w:rPr>
          <w:rFonts w:ascii="宋体" w:hAnsi="宋体" w:cs="Times New Roman" w:hint="eastAsia"/>
          <w:sz w:val="24"/>
          <w:szCs w:val="24"/>
        </w:rPr>
        <w:t>或其他情形致使基金管理人、基金托管人无法准确评估基金资产价值时；</w:t>
      </w:r>
    </w:p>
    <w:p w14:paraId="2786AB34" w14:textId="3ADF8B1E"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3</w:t>
      </w:r>
      <w:r>
        <w:rPr>
          <w:rFonts w:ascii="宋体" w:hAnsi="宋体" w:cs="Times New Roman" w:hint="eastAsia"/>
          <w:sz w:val="24"/>
          <w:szCs w:val="24"/>
          <w:highlight w:val="white"/>
        </w:rPr>
        <w:t>、发生基金合同约定的暂停估值的情形；</w:t>
      </w:r>
    </w:p>
    <w:p w14:paraId="7462AB73" w14:textId="3A22E0CD"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4</w:t>
      </w:r>
      <w:r>
        <w:rPr>
          <w:rFonts w:ascii="宋体" w:hAnsi="宋体" w:cs="Times New Roman" w:hint="eastAsia"/>
          <w:sz w:val="24"/>
          <w:szCs w:val="24"/>
          <w:highlight w:val="white"/>
        </w:rPr>
        <w:t>、法律法规规定、中国证监会或基金合同认定的其他情形。</w:t>
      </w:r>
    </w:p>
    <w:p w14:paraId="08585883"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（四）基金托管人报告</w:t>
      </w:r>
    </w:p>
    <w:p w14:paraId="40484546"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基金托管人应按《基金法》和中国证监会的有关规定出具基金托管情况报告。基金托管人报告</w:t>
      </w:r>
      <w:proofErr w:type="gramStart"/>
      <w:r>
        <w:rPr>
          <w:rFonts w:ascii="宋体" w:hAnsi="宋体" w:cs="Times New Roman" w:hint="eastAsia"/>
          <w:sz w:val="24"/>
          <w:szCs w:val="24"/>
          <w:highlight w:val="white"/>
        </w:rPr>
        <w:t>说明该半年度</w:t>
      </w:r>
      <w:proofErr w:type="gramEnd"/>
      <w:r>
        <w:rPr>
          <w:rFonts w:ascii="宋体" w:hAnsi="宋体" w:cs="Times New Roman"/>
          <w:sz w:val="24"/>
          <w:szCs w:val="24"/>
          <w:highlight w:val="white"/>
        </w:rPr>
        <w:t>/</w:t>
      </w:r>
      <w:r>
        <w:rPr>
          <w:rFonts w:ascii="宋体" w:hAnsi="宋体" w:cs="Times New Roman" w:hint="eastAsia"/>
          <w:sz w:val="24"/>
          <w:szCs w:val="24"/>
          <w:highlight w:val="white"/>
        </w:rPr>
        <w:t>年度基金托管人和基金管理人履行《基金合同》的情况，是基金中期报告和年度报告的组成部分。</w:t>
      </w:r>
      <w:bookmarkStart w:id="98" w:name="_Toc125892447"/>
      <w:bookmarkStart w:id="99" w:name="_Toc508720689"/>
      <w:bookmarkEnd w:id="98"/>
      <w:bookmarkEnd w:id="99"/>
    </w:p>
    <w:p w14:paraId="2F96644D" w14:textId="77777777" w:rsidR="00232224" w:rsidRDefault="00000000">
      <w:pPr>
        <w:pStyle w:val="112"/>
        <w:spacing w:beforeLines="100" w:before="312" w:beforeAutospacing="0" w:afterLines="50" w:after="156" w:afterAutospacing="0" w:line="360" w:lineRule="auto"/>
        <w:jc w:val="center"/>
        <w:rPr>
          <w:rFonts w:ascii="Times New Roman" w:hAnsi="Times New Roman" w:cs="Times New Roman"/>
          <w:sz w:val="28"/>
        </w:rPr>
      </w:pPr>
      <w:bookmarkStart w:id="100" w:name="_Toc105597621"/>
      <w:r>
        <w:rPr>
          <w:rFonts w:ascii="Times New Roman" w:hAnsi="Times New Roman" w:cs="Times New Roman" w:hint="eastAsia"/>
          <w:sz w:val="28"/>
        </w:rPr>
        <w:t>十一、基金费用</w:t>
      </w:r>
      <w:bookmarkEnd w:id="100"/>
    </w:p>
    <w:p w14:paraId="37929798"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（一）基金管理人的管理费</w:t>
      </w:r>
    </w:p>
    <w:p w14:paraId="0DCE6FD9" w14:textId="7D470A5F"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本基金的</w:t>
      </w:r>
      <w:r>
        <w:rPr>
          <w:rFonts w:ascii="宋体" w:hAnsi="宋体" w:cs="Times New Roman" w:hint="eastAsia"/>
          <w:sz w:val="24"/>
          <w:szCs w:val="24"/>
          <w:highlight w:val="white"/>
        </w:rPr>
        <w:t>年</w:t>
      </w:r>
      <w:r>
        <w:rPr>
          <w:rFonts w:ascii="宋体" w:hAnsi="宋体" w:cs="Times New Roman"/>
          <w:sz w:val="24"/>
          <w:szCs w:val="24"/>
          <w:highlight w:val="white"/>
        </w:rPr>
        <w:t>管理费</w:t>
      </w:r>
      <w:r>
        <w:rPr>
          <w:rFonts w:ascii="宋体" w:hAnsi="宋体" w:cs="Times New Roman" w:hint="eastAsia"/>
          <w:sz w:val="24"/>
          <w:szCs w:val="24"/>
          <w:highlight w:val="white"/>
        </w:rPr>
        <w:t>费率为</w:t>
      </w:r>
      <w:r>
        <w:rPr>
          <w:rFonts w:ascii="宋体" w:hAnsi="宋体" w:cs="Times New Roman"/>
          <w:sz w:val="24"/>
          <w:szCs w:val="24"/>
        </w:rPr>
        <w:t>1.</w:t>
      </w:r>
      <w:r w:rsidR="00646DD7">
        <w:rPr>
          <w:rFonts w:ascii="宋体" w:hAnsi="宋体" w:cs="Times New Roman"/>
          <w:sz w:val="24"/>
          <w:szCs w:val="24"/>
        </w:rPr>
        <w:t>2</w:t>
      </w:r>
      <w:r>
        <w:rPr>
          <w:rFonts w:ascii="宋体" w:hAnsi="宋体" w:cs="Times New Roman"/>
          <w:sz w:val="24"/>
          <w:szCs w:val="24"/>
        </w:rPr>
        <w:t>0%</w:t>
      </w:r>
      <w:r>
        <w:rPr>
          <w:rFonts w:ascii="宋体" w:hAnsi="宋体" w:cs="Times New Roman" w:hint="eastAsia"/>
          <w:sz w:val="24"/>
          <w:szCs w:val="24"/>
        </w:rPr>
        <w:t>，</w:t>
      </w:r>
      <w:r>
        <w:rPr>
          <w:rFonts w:ascii="宋体" w:hAnsi="宋体" w:cs="Times New Roman"/>
          <w:sz w:val="24"/>
          <w:szCs w:val="24"/>
          <w:highlight w:val="white"/>
        </w:rPr>
        <w:t>管理费的计算方法如下：</w:t>
      </w:r>
    </w:p>
    <w:p w14:paraId="43A59234" w14:textId="2965D19A"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H＝E×</w:t>
      </w:r>
      <w:r>
        <w:rPr>
          <w:rFonts w:ascii="宋体" w:hAnsi="宋体" w:cs="Times New Roman"/>
          <w:sz w:val="24"/>
          <w:szCs w:val="24"/>
        </w:rPr>
        <w:t>1.</w:t>
      </w:r>
      <w:r w:rsidR="00646DD7">
        <w:rPr>
          <w:rFonts w:ascii="宋体" w:hAnsi="宋体" w:cs="Times New Roman"/>
          <w:sz w:val="24"/>
          <w:szCs w:val="24"/>
        </w:rPr>
        <w:t>2</w:t>
      </w:r>
      <w:r>
        <w:rPr>
          <w:rFonts w:ascii="宋体" w:hAnsi="宋体" w:cs="Times New Roman"/>
          <w:sz w:val="24"/>
          <w:szCs w:val="24"/>
        </w:rPr>
        <w:t>0</w:t>
      </w:r>
      <w:r>
        <w:rPr>
          <w:rFonts w:ascii="宋体" w:hAnsi="宋体" w:cs="Times New Roman" w:hint="eastAsia"/>
          <w:sz w:val="24"/>
          <w:szCs w:val="24"/>
        </w:rPr>
        <w:t>%</w:t>
      </w:r>
      <w:r>
        <w:rPr>
          <w:rFonts w:ascii="宋体" w:hAnsi="宋体" w:cs="Times New Roman"/>
          <w:sz w:val="24"/>
          <w:szCs w:val="24"/>
          <w:highlight w:val="white"/>
        </w:rPr>
        <w:t>÷</w:t>
      </w:r>
      <w:r>
        <w:rPr>
          <w:rFonts w:hint="eastAsia"/>
          <w:bCs/>
          <w:sz w:val="24"/>
        </w:rPr>
        <w:t>当年天数</w:t>
      </w:r>
    </w:p>
    <w:p w14:paraId="41E69B79"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H</w:t>
      </w:r>
      <w:r>
        <w:rPr>
          <w:rFonts w:ascii="宋体" w:hAnsi="宋体" w:cs="Times New Roman" w:hint="eastAsia"/>
          <w:sz w:val="24"/>
          <w:szCs w:val="24"/>
          <w:highlight w:val="white"/>
        </w:rPr>
        <w:t>：</w:t>
      </w:r>
      <w:r>
        <w:rPr>
          <w:rFonts w:ascii="宋体" w:hAnsi="宋体" w:cs="Times New Roman"/>
          <w:sz w:val="24"/>
          <w:szCs w:val="24"/>
          <w:highlight w:val="white"/>
        </w:rPr>
        <w:t>每日应计提的</w:t>
      </w:r>
      <w:r>
        <w:rPr>
          <w:rFonts w:ascii="宋体" w:hAnsi="宋体" w:cs="Times New Roman" w:hint="eastAsia"/>
          <w:sz w:val="24"/>
          <w:szCs w:val="24"/>
          <w:highlight w:val="white"/>
        </w:rPr>
        <w:t>基金</w:t>
      </w:r>
      <w:r>
        <w:rPr>
          <w:rFonts w:ascii="宋体" w:hAnsi="宋体" w:cs="Times New Roman"/>
          <w:sz w:val="24"/>
          <w:szCs w:val="24"/>
          <w:highlight w:val="white"/>
        </w:rPr>
        <w:t>管理费</w:t>
      </w:r>
    </w:p>
    <w:p w14:paraId="46E74ED8" w14:textId="640A907A"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E</w:t>
      </w:r>
      <w:r>
        <w:rPr>
          <w:rFonts w:ascii="宋体" w:hAnsi="宋体" w:cs="Times New Roman" w:hint="eastAsia"/>
          <w:sz w:val="24"/>
          <w:szCs w:val="24"/>
          <w:highlight w:val="white"/>
        </w:rPr>
        <w:t>：</w:t>
      </w:r>
      <w:r>
        <w:rPr>
          <w:rFonts w:hint="eastAsia"/>
          <w:bCs/>
          <w:sz w:val="24"/>
        </w:rPr>
        <w:t>前一日的基金资产净值</w:t>
      </w:r>
    </w:p>
    <w:p w14:paraId="32C87ECC"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（二）基金托管人的托管费</w:t>
      </w:r>
    </w:p>
    <w:p w14:paraId="50B53924" w14:textId="4226DAC9"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本基金的</w:t>
      </w:r>
      <w:r>
        <w:rPr>
          <w:rFonts w:ascii="宋体" w:hAnsi="宋体" w:cs="Times New Roman" w:hint="eastAsia"/>
          <w:sz w:val="24"/>
          <w:szCs w:val="24"/>
          <w:highlight w:val="white"/>
        </w:rPr>
        <w:t>年托管费</w:t>
      </w:r>
      <w:r>
        <w:rPr>
          <w:rFonts w:ascii="宋体" w:hAnsi="宋体" w:cs="Times New Roman"/>
          <w:sz w:val="24"/>
          <w:szCs w:val="24"/>
          <w:highlight w:val="white"/>
        </w:rPr>
        <w:t>费</w:t>
      </w:r>
      <w:r>
        <w:rPr>
          <w:rFonts w:ascii="宋体" w:hAnsi="宋体" w:cs="Times New Roman" w:hint="eastAsia"/>
          <w:sz w:val="24"/>
          <w:szCs w:val="24"/>
          <w:highlight w:val="white"/>
        </w:rPr>
        <w:t>率为</w:t>
      </w:r>
      <w:r>
        <w:rPr>
          <w:rFonts w:ascii="宋体" w:hAnsi="宋体" w:cs="Times New Roman"/>
          <w:sz w:val="24"/>
          <w:szCs w:val="24"/>
        </w:rPr>
        <w:t>0.2</w:t>
      </w:r>
      <w:r w:rsidR="00646DD7">
        <w:rPr>
          <w:rFonts w:ascii="宋体" w:hAnsi="宋体" w:cs="Times New Roman"/>
          <w:sz w:val="24"/>
          <w:szCs w:val="24"/>
        </w:rPr>
        <w:t>0</w:t>
      </w:r>
      <w:r>
        <w:rPr>
          <w:rFonts w:ascii="宋体" w:hAnsi="宋体" w:cs="Times New Roman" w:hint="eastAsia"/>
          <w:sz w:val="24"/>
          <w:szCs w:val="24"/>
        </w:rPr>
        <w:t>%，托管</w:t>
      </w:r>
      <w:r>
        <w:rPr>
          <w:rFonts w:ascii="宋体" w:hAnsi="宋体" w:cs="Times New Roman"/>
          <w:sz w:val="24"/>
          <w:szCs w:val="24"/>
          <w:highlight w:val="white"/>
        </w:rPr>
        <w:t>费的计算方法如下：</w:t>
      </w:r>
    </w:p>
    <w:p w14:paraId="535DFC88" w14:textId="67A422B0"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H＝E×</w:t>
      </w:r>
      <w:r w:rsidRPr="0079157F">
        <w:rPr>
          <w:rFonts w:ascii="宋体" w:hAnsi="宋体" w:cs="Times New Roman"/>
          <w:sz w:val="24"/>
          <w:szCs w:val="24"/>
        </w:rPr>
        <w:t>0.2</w:t>
      </w:r>
      <w:r w:rsidR="00646DD7">
        <w:rPr>
          <w:rFonts w:ascii="宋体" w:hAnsi="宋体" w:cs="Times New Roman"/>
          <w:sz w:val="24"/>
          <w:szCs w:val="24"/>
        </w:rPr>
        <w:t>0</w:t>
      </w:r>
      <w:r w:rsidRPr="0079157F">
        <w:rPr>
          <w:rFonts w:ascii="宋体" w:hAnsi="宋体" w:cs="Times New Roman"/>
          <w:sz w:val="24"/>
          <w:szCs w:val="24"/>
        </w:rPr>
        <w:t>%</w:t>
      </w:r>
      <w:r>
        <w:rPr>
          <w:rFonts w:ascii="宋体" w:hAnsi="宋体" w:cs="Times New Roman"/>
          <w:sz w:val="24"/>
          <w:szCs w:val="24"/>
          <w:highlight w:val="white"/>
        </w:rPr>
        <w:t>÷</w:t>
      </w:r>
      <w:r>
        <w:rPr>
          <w:rFonts w:hint="eastAsia"/>
          <w:bCs/>
          <w:sz w:val="24"/>
        </w:rPr>
        <w:t>当年天数</w:t>
      </w:r>
    </w:p>
    <w:p w14:paraId="57ADE12B"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H</w:t>
      </w:r>
      <w:r>
        <w:rPr>
          <w:rFonts w:ascii="宋体" w:hAnsi="宋体" w:cs="Times New Roman" w:hint="eastAsia"/>
          <w:sz w:val="24"/>
          <w:szCs w:val="24"/>
          <w:highlight w:val="white"/>
        </w:rPr>
        <w:t>：</w:t>
      </w:r>
      <w:r>
        <w:rPr>
          <w:rFonts w:ascii="宋体" w:hAnsi="宋体" w:cs="Times New Roman"/>
          <w:sz w:val="24"/>
          <w:szCs w:val="24"/>
          <w:highlight w:val="white"/>
        </w:rPr>
        <w:t>每日应计提的</w:t>
      </w:r>
      <w:r>
        <w:rPr>
          <w:rFonts w:ascii="宋体" w:hAnsi="宋体" w:cs="Times New Roman" w:hint="eastAsia"/>
          <w:sz w:val="24"/>
          <w:szCs w:val="24"/>
          <w:highlight w:val="white"/>
        </w:rPr>
        <w:t>基金</w:t>
      </w:r>
      <w:r>
        <w:rPr>
          <w:rFonts w:ascii="宋体" w:hAnsi="宋体" w:cs="Times New Roman"/>
          <w:sz w:val="24"/>
          <w:szCs w:val="24"/>
          <w:highlight w:val="white"/>
        </w:rPr>
        <w:t>托管费</w:t>
      </w:r>
    </w:p>
    <w:p w14:paraId="44A420D0" w14:textId="73CDADEA"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E</w:t>
      </w:r>
      <w:r>
        <w:rPr>
          <w:rFonts w:ascii="宋体" w:hAnsi="宋体" w:cs="Times New Roman" w:hint="eastAsia"/>
          <w:sz w:val="24"/>
          <w:szCs w:val="24"/>
          <w:highlight w:val="white"/>
        </w:rPr>
        <w:t>：</w:t>
      </w:r>
      <w:r>
        <w:rPr>
          <w:rFonts w:hint="eastAsia"/>
          <w:bCs/>
          <w:sz w:val="24"/>
        </w:rPr>
        <w:t>前一日的基金资产净值</w:t>
      </w:r>
    </w:p>
    <w:p w14:paraId="678B9E82"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（三）销售服务费</w:t>
      </w:r>
    </w:p>
    <w:p w14:paraId="724CBDFC" w14:textId="3495E052"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本基金A</w:t>
      </w:r>
      <w:r>
        <w:rPr>
          <w:rFonts w:ascii="宋体" w:hAnsi="宋体" w:cs="Times New Roman" w:hint="eastAsia"/>
          <w:sz w:val="24"/>
          <w:szCs w:val="24"/>
          <w:highlight w:val="white"/>
        </w:rPr>
        <w:t>类基金份额不收取销售服务费，</w:t>
      </w:r>
      <w:r>
        <w:rPr>
          <w:rFonts w:ascii="宋体" w:hAnsi="宋体" w:cs="Times New Roman"/>
          <w:sz w:val="24"/>
          <w:szCs w:val="24"/>
          <w:highlight w:val="white"/>
        </w:rPr>
        <w:t>C</w:t>
      </w:r>
      <w:r>
        <w:rPr>
          <w:rFonts w:ascii="宋体" w:hAnsi="宋体" w:cs="Times New Roman" w:hint="eastAsia"/>
          <w:sz w:val="24"/>
          <w:szCs w:val="24"/>
          <w:highlight w:val="white"/>
        </w:rPr>
        <w:t>类基金份额</w:t>
      </w:r>
      <w:r>
        <w:rPr>
          <w:rFonts w:ascii="宋体" w:hAnsi="宋体" w:cs="Times New Roman"/>
          <w:sz w:val="24"/>
          <w:szCs w:val="24"/>
          <w:highlight w:val="white"/>
        </w:rPr>
        <w:t>的</w:t>
      </w:r>
      <w:r>
        <w:rPr>
          <w:rFonts w:ascii="宋体" w:hAnsi="宋体" w:cs="Times New Roman" w:hint="eastAsia"/>
          <w:sz w:val="24"/>
          <w:szCs w:val="24"/>
          <w:highlight w:val="white"/>
        </w:rPr>
        <w:t>年销售服务</w:t>
      </w:r>
      <w:r>
        <w:rPr>
          <w:rFonts w:ascii="宋体" w:hAnsi="宋体" w:cs="Times New Roman"/>
          <w:sz w:val="24"/>
          <w:szCs w:val="24"/>
          <w:highlight w:val="white"/>
        </w:rPr>
        <w:t>费费</w:t>
      </w:r>
      <w:r>
        <w:rPr>
          <w:rFonts w:ascii="宋体" w:hAnsi="宋体" w:cs="Times New Roman" w:hint="eastAsia"/>
          <w:sz w:val="24"/>
          <w:szCs w:val="24"/>
          <w:highlight w:val="white"/>
        </w:rPr>
        <w:t>率为</w:t>
      </w:r>
      <w:r w:rsidRPr="0079157F">
        <w:rPr>
          <w:rFonts w:ascii="宋体" w:hAnsi="宋体" w:cs="Times New Roman"/>
          <w:sz w:val="24"/>
          <w:szCs w:val="24"/>
          <w:highlight w:val="white"/>
        </w:rPr>
        <w:t>0.40%</w:t>
      </w:r>
      <w:r w:rsidRPr="0079157F">
        <w:rPr>
          <w:rFonts w:ascii="宋体" w:hAnsi="宋体" w:cs="Times New Roman" w:hint="eastAsia"/>
          <w:sz w:val="24"/>
          <w:szCs w:val="24"/>
          <w:highlight w:val="white"/>
        </w:rPr>
        <w:t>，</w:t>
      </w:r>
      <w:r>
        <w:rPr>
          <w:rFonts w:ascii="宋体" w:hAnsi="宋体" w:cs="Times New Roman" w:hint="eastAsia"/>
          <w:sz w:val="24"/>
          <w:szCs w:val="24"/>
          <w:highlight w:val="white"/>
        </w:rPr>
        <w:t>销售服务</w:t>
      </w:r>
      <w:r>
        <w:rPr>
          <w:rFonts w:ascii="宋体" w:hAnsi="宋体" w:cs="Times New Roman"/>
          <w:sz w:val="24"/>
          <w:szCs w:val="24"/>
          <w:highlight w:val="white"/>
        </w:rPr>
        <w:t>费的计算方法如下：</w:t>
      </w:r>
    </w:p>
    <w:p w14:paraId="052167CF" w14:textId="49840DEE"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H＝E×</w:t>
      </w:r>
      <w:r>
        <w:rPr>
          <w:rFonts w:ascii="宋体" w:hAnsi="宋体" w:cs="Times New Roman"/>
          <w:sz w:val="24"/>
          <w:szCs w:val="24"/>
        </w:rPr>
        <w:t>0.40</w:t>
      </w:r>
      <w:r>
        <w:rPr>
          <w:rFonts w:ascii="宋体" w:hAnsi="宋体" w:cs="Times New Roman" w:hint="eastAsia"/>
          <w:sz w:val="24"/>
          <w:szCs w:val="24"/>
        </w:rPr>
        <w:t>%</w:t>
      </w:r>
      <w:r>
        <w:rPr>
          <w:rFonts w:ascii="宋体" w:hAnsi="宋体" w:cs="Times New Roman"/>
          <w:sz w:val="24"/>
          <w:szCs w:val="24"/>
          <w:highlight w:val="white"/>
        </w:rPr>
        <w:t>÷</w:t>
      </w:r>
      <w:r>
        <w:rPr>
          <w:rFonts w:hint="eastAsia"/>
          <w:bCs/>
          <w:sz w:val="24"/>
        </w:rPr>
        <w:t>当年天数</w:t>
      </w:r>
    </w:p>
    <w:p w14:paraId="6D981C08"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H</w:t>
      </w:r>
      <w:r>
        <w:rPr>
          <w:rFonts w:ascii="宋体" w:hAnsi="宋体" w:cs="Times New Roman" w:hint="eastAsia"/>
          <w:sz w:val="24"/>
          <w:szCs w:val="24"/>
          <w:highlight w:val="white"/>
        </w:rPr>
        <w:t>：C类基金份额</w:t>
      </w:r>
      <w:r>
        <w:rPr>
          <w:rFonts w:ascii="宋体" w:hAnsi="宋体" w:cs="Times New Roman"/>
          <w:sz w:val="24"/>
          <w:szCs w:val="24"/>
          <w:highlight w:val="white"/>
        </w:rPr>
        <w:t>每日应计提的销售服务费</w:t>
      </w:r>
    </w:p>
    <w:p w14:paraId="7F7842B5" w14:textId="2273D38D"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E</w:t>
      </w:r>
      <w:r>
        <w:rPr>
          <w:rFonts w:ascii="宋体" w:hAnsi="宋体" w:cs="Times New Roman" w:hint="eastAsia"/>
          <w:sz w:val="24"/>
          <w:szCs w:val="24"/>
          <w:highlight w:val="white"/>
        </w:rPr>
        <w:t>：</w:t>
      </w:r>
      <w:r>
        <w:rPr>
          <w:rFonts w:ascii="宋体" w:hAnsi="宋体" w:cs="Times New Roman" w:hint="eastAsia"/>
          <w:sz w:val="24"/>
          <w:szCs w:val="24"/>
        </w:rPr>
        <w:t>C类基金份额前一日的基金资产净值</w:t>
      </w:r>
    </w:p>
    <w:p w14:paraId="43A417DC" w14:textId="73A4F8C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lastRenderedPageBreak/>
        <w:t>（四）从基金资产中列支基金管理人的管理费、基金托管人的托管费、销售服务费之外的其他基金费用，应当依据有关法律、法规、《基金合同》的规定从</w:t>
      </w:r>
      <w:r>
        <w:rPr>
          <w:rFonts w:ascii="宋体" w:hAnsi="宋体" w:cs="Times New Roman"/>
          <w:sz w:val="24"/>
          <w:szCs w:val="24"/>
          <w:highlight w:val="white"/>
        </w:rPr>
        <w:t>基金财产中支付；基金管理人和基金托管人因未履行或未完全履行义务导致的费用支出或基金财产的损失</w:t>
      </w:r>
      <w:r>
        <w:rPr>
          <w:rFonts w:ascii="宋体" w:hAnsi="宋体" w:cs="Times New Roman" w:hint="eastAsia"/>
          <w:sz w:val="24"/>
          <w:szCs w:val="24"/>
          <w:highlight w:val="white"/>
        </w:rPr>
        <w:t>、基金管理人和基金托管人</w:t>
      </w:r>
      <w:r>
        <w:rPr>
          <w:rFonts w:ascii="宋体" w:hAnsi="宋体" w:cs="Times New Roman"/>
          <w:sz w:val="24"/>
          <w:szCs w:val="24"/>
          <w:highlight w:val="white"/>
        </w:rPr>
        <w:t>处理与基金运作无关的事项发生的费用、</w:t>
      </w:r>
      <w:r>
        <w:rPr>
          <w:rFonts w:ascii="宋体" w:hAnsi="宋体" w:cs="Times New Roman" w:hint="eastAsia"/>
          <w:sz w:val="24"/>
          <w:szCs w:val="24"/>
        </w:rPr>
        <w:t>《基金合同》生效前的相关费用、其他根据相关法律法规及中国证监会的有关规定不得列入基金费用的项目</w:t>
      </w:r>
      <w:r>
        <w:rPr>
          <w:rFonts w:ascii="宋体" w:hAnsi="宋体" w:cs="Times New Roman"/>
          <w:sz w:val="24"/>
          <w:szCs w:val="24"/>
          <w:highlight w:val="white"/>
        </w:rPr>
        <w:t>等不列入基金费用；基金托管人对不符合《基金法》、《运作办法》等有关规定以及《基金合同》</w:t>
      </w:r>
      <w:r>
        <w:rPr>
          <w:rFonts w:ascii="宋体" w:hAnsi="宋体" w:cs="Times New Roman" w:hint="eastAsia"/>
          <w:sz w:val="24"/>
          <w:szCs w:val="24"/>
          <w:highlight w:val="white"/>
        </w:rPr>
        <w:t>约定</w:t>
      </w:r>
      <w:r>
        <w:rPr>
          <w:rFonts w:ascii="宋体" w:hAnsi="宋体" w:cs="Times New Roman"/>
          <w:sz w:val="24"/>
          <w:szCs w:val="24"/>
          <w:highlight w:val="white"/>
        </w:rPr>
        <w:t>的其他费用有权拒绝执行。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14:paraId="2FF11A2C"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（五）管理费、托管费、销售服务费的复核程序、支付方式和时间</w:t>
      </w:r>
    </w:p>
    <w:p w14:paraId="4F85C999"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1.复核程序</w:t>
      </w:r>
    </w:p>
    <w:p w14:paraId="5A93D496" w14:textId="1AE8ECAC"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基金托管人对基金管理费、基金托管费、销售服务费等，根据本托管协议和《基金合同》的有关规定进行复核。</w:t>
      </w:r>
    </w:p>
    <w:p w14:paraId="744F6ECF"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2.支付方式和时间</w:t>
      </w:r>
    </w:p>
    <w:p w14:paraId="265ADFC1" w14:textId="4BDCA908"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基金管理费每日计提，逐日累计至每月月末，按月支付。由</w:t>
      </w:r>
      <w:r>
        <w:rPr>
          <w:rFonts w:ascii="宋体" w:hAnsi="宋体" w:cs="Times New Roman"/>
          <w:sz w:val="24"/>
          <w:szCs w:val="24"/>
          <w:highlight w:val="white"/>
        </w:rPr>
        <w:t>基金管理人与基金托管人核对</w:t>
      </w:r>
      <w:r>
        <w:rPr>
          <w:rFonts w:ascii="宋体" w:hAnsi="宋体" w:cs="Times New Roman" w:hint="eastAsia"/>
          <w:sz w:val="24"/>
          <w:szCs w:val="24"/>
          <w:highlight w:val="white"/>
        </w:rPr>
        <w:t>一致</w:t>
      </w:r>
      <w:r>
        <w:rPr>
          <w:rFonts w:ascii="宋体" w:hAnsi="宋体" w:cs="Times New Roman"/>
          <w:sz w:val="24"/>
          <w:szCs w:val="24"/>
          <w:highlight w:val="white"/>
        </w:rPr>
        <w:t>后，基金托管人按照与基金管理人协商一致的方式于次月</w:t>
      </w:r>
      <w:r>
        <w:rPr>
          <w:rFonts w:ascii="宋体" w:hAnsi="宋体" w:cs="Times New Roman" w:hint="eastAsia"/>
          <w:sz w:val="24"/>
          <w:szCs w:val="24"/>
          <w:highlight w:val="white"/>
        </w:rPr>
        <w:t>首</w:t>
      </w:r>
      <w:r>
        <w:rPr>
          <w:rFonts w:ascii="宋体" w:hAnsi="宋体" w:cs="Times New Roman"/>
          <w:sz w:val="24"/>
          <w:szCs w:val="24"/>
          <w:highlight w:val="white"/>
        </w:rPr>
        <w:t>日</w:t>
      </w:r>
      <w:r>
        <w:rPr>
          <w:rFonts w:ascii="宋体" w:hAnsi="宋体" w:cs="Times New Roman" w:hint="eastAsia"/>
          <w:sz w:val="24"/>
          <w:szCs w:val="24"/>
          <w:highlight w:val="white"/>
        </w:rPr>
        <w:t>起5个工作日</w:t>
      </w:r>
      <w:r>
        <w:rPr>
          <w:rFonts w:ascii="宋体" w:hAnsi="宋体" w:cs="Times New Roman"/>
          <w:sz w:val="24"/>
          <w:szCs w:val="24"/>
          <w:highlight w:val="white"/>
        </w:rPr>
        <w:t>内从基金财产中一次性支付给基金管理人。若遇法定节假日、</w:t>
      </w:r>
      <w:r>
        <w:rPr>
          <w:rFonts w:ascii="宋体" w:hAnsi="宋体" w:cs="Times New Roman" w:hint="eastAsia"/>
          <w:sz w:val="24"/>
          <w:szCs w:val="24"/>
          <w:highlight w:val="white"/>
        </w:rPr>
        <w:t>公休假或不可抗力等，支付日期顺延</w:t>
      </w:r>
      <w:r>
        <w:rPr>
          <w:rFonts w:ascii="宋体" w:hAnsi="宋体" w:cs="Times New Roman"/>
          <w:sz w:val="24"/>
          <w:szCs w:val="24"/>
          <w:highlight w:val="white"/>
        </w:rPr>
        <w:t>。</w:t>
      </w:r>
    </w:p>
    <w:p w14:paraId="0746BFF7" w14:textId="700D4908"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基金托管费每日计提，逐日累计至每月月末，按月支付。由</w:t>
      </w:r>
      <w:r>
        <w:rPr>
          <w:rFonts w:ascii="宋体" w:hAnsi="宋体" w:cs="Times New Roman"/>
          <w:sz w:val="24"/>
          <w:szCs w:val="24"/>
          <w:highlight w:val="white"/>
        </w:rPr>
        <w:t>基金管理人与基金托管人核对</w:t>
      </w:r>
      <w:r>
        <w:rPr>
          <w:rFonts w:ascii="宋体" w:hAnsi="宋体" w:cs="Times New Roman" w:hint="eastAsia"/>
          <w:sz w:val="24"/>
          <w:szCs w:val="24"/>
          <w:highlight w:val="white"/>
        </w:rPr>
        <w:t>一致</w:t>
      </w:r>
      <w:r>
        <w:rPr>
          <w:rFonts w:ascii="宋体" w:hAnsi="宋体" w:cs="Times New Roman"/>
          <w:sz w:val="24"/>
          <w:szCs w:val="24"/>
          <w:highlight w:val="white"/>
        </w:rPr>
        <w:t>后，基金托管人按照与基金管理人协商一致的方式于次月</w:t>
      </w:r>
      <w:r>
        <w:rPr>
          <w:rFonts w:ascii="宋体" w:hAnsi="宋体" w:cs="Times New Roman" w:hint="eastAsia"/>
          <w:sz w:val="24"/>
          <w:szCs w:val="24"/>
          <w:highlight w:val="white"/>
        </w:rPr>
        <w:t>首日起</w:t>
      </w:r>
      <w:r>
        <w:rPr>
          <w:rFonts w:ascii="宋体" w:hAnsi="宋体" w:cs="Times New Roman"/>
          <w:sz w:val="24"/>
          <w:szCs w:val="24"/>
          <w:highlight w:val="white"/>
        </w:rPr>
        <w:t>5个工作日内从基金财产中一次性支取。若遇法定节假日、</w:t>
      </w:r>
      <w:r>
        <w:rPr>
          <w:rFonts w:ascii="宋体" w:hAnsi="宋体" w:cs="Times New Roman" w:hint="eastAsia"/>
          <w:sz w:val="24"/>
          <w:szCs w:val="24"/>
          <w:highlight w:val="white"/>
        </w:rPr>
        <w:t>公休假或不可抗力等，支付日期顺延</w:t>
      </w:r>
      <w:r>
        <w:rPr>
          <w:rFonts w:ascii="宋体" w:hAnsi="宋体" w:cs="Times New Roman"/>
          <w:sz w:val="24"/>
          <w:szCs w:val="24"/>
          <w:highlight w:val="white"/>
        </w:rPr>
        <w:t>。</w:t>
      </w:r>
    </w:p>
    <w:p w14:paraId="403F19D5" w14:textId="7B8BE6C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基金销售服务费每日计提，逐日累计至每月月末，按月支付。由</w:t>
      </w:r>
      <w:r>
        <w:rPr>
          <w:rFonts w:ascii="宋体" w:hAnsi="宋体" w:cs="Times New Roman"/>
          <w:sz w:val="24"/>
          <w:szCs w:val="24"/>
          <w:highlight w:val="white"/>
        </w:rPr>
        <w:t>基金管理人与基金托管人核对</w:t>
      </w:r>
      <w:r>
        <w:rPr>
          <w:rFonts w:ascii="宋体" w:hAnsi="宋体" w:cs="Times New Roman" w:hint="eastAsia"/>
          <w:sz w:val="24"/>
          <w:szCs w:val="24"/>
          <w:highlight w:val="white"/>
        </w:rPr>
        <w:t>一致</w:t>
      </w:r>
      <w:r>
        <w:rPr>
          <w:rFonts w:ascii="宋体" w:hAnsi="宋体" w:cs="Times New Roman"/>
          <w:sz w:val="24"/>
          <w:szCs w:val="24"/>
          <w:highlight w:val="white"/>
        </w:rPr>
        <w:t>后，基金托管人按照与基金管理人协商一致的方式于次月</w:t>
      </w:r>
      <w:r>
        <w:rPr>
          <w:rFonts w:ascii="宋体" w:hAnsi="宋体" w:cs="Times New Roman" w:hint="eastAsia"/>
          <w:sz w:val="24"/>
          <w:szCs w:val="24"/>
          <w:highlight w:val="white"/>
        </w:rPr>
        <w:t>首日起</w:t>
      </w:r>
      <w:r>
        <w:rPr>
          <w:rFonts w:ascii="宋体" w:hAnsi="宋体" w:cs="Times New Roman"/>
          <w:sz w:val="24"/>
          <w:szCs w:val="24"/>
          <w:highlight w:val="white"/>
        </w:rPr>
        <w:t>5个工作日内从基金财产中一次性支付</w:t>
      </w:r>
      <w:r>
        <w:rPr>
          <w:rFonts w:ascii="宋体" w:hAnsi="宋体" w:cs="Times New Roman" w:hint="eastAsia"/>
          <w:sz w:val="24"/>
          <w:szCs w:val="24"/>
          <w:highlight w:val="white"/>
        </w:rPr>
        <w:t>给基金管理人</w:t>
      </w:r>
      <w:r>
        <w:rPr>
          <w:rFonts w:ascii="宋体" w:hAnsi="宋体" w:cs="Times New Roman"/>
          <w:sz w:val="24"/>
          <w:szCs w:val="24"/>
          <w:highlight w:val="white"/>
        </w:rPr>
        <w:t>。</w:t>
      </w:r>
      <w:r>
        <w:rPr>
          <w:rFonts w:hint="eastAsia"/>
          <w:bCs/>
          <w:sz w:val="24"/>
        </w:rPr>
        <w:t>基金销售服务费由基金管理人代收，基金管理人收到后按照相关协议支付给各销售机构。</w:t>
      </w:r>
      <w:r>
        <w:rPr>
          <w:rFonts w:ascii="宋体" w:hAnsi="宋体" w:cs="Times New Roman"/>
          <w:sz w:val="24"/>
          <w:szCs w:val="24"/>
          <w:highlight w:val="white"/>
        </w:rPr>
        <w:t>若遇法定节假日、</w:t>
      </w:r>
      <w:r>
        <w:rPr>
          <w:rFonts w:ascii="宋体" w:hAnsi="宋体" w:cs="Times New Roman" w:hint="eastAsia"/>
          <w:sz w:val="24"/>
          <w:szCs w:val="24"/>
          <w:highlight w:val="white"/>
        </w:rPr>
        <w:t>公休假或不可抗力等，支付日期顺延</w:t>
      </w:r>
      <w:r>
        <w:rPr>
          <w:rFonts w:ascii="宋体" w:hAnsi="宋体" w:cs="Times New Roman"/>
          <w:sz w:val="24"/>
          <w:szCs w:val="24"/>
          <w:highlight w:val="white"/>
        </w:rPr>
        <w:t>。</w:t>
      </w:r>
    </w:p>
    <w:p w14:paraId="4CE43009" w14:textId="77777777" w:rsidR="00232224" w:rsidRDefault="00000000">
      <w:pPr>
        <w:pStyle w:val="112"/>
        <w:spacing w:beforeLines="100" w:before="312" w:beforeAutospacing="0" w:afterLines="50" w:after="156" w:afterAutospacing="0" w:line="360" w:lineRule="auto"/>
        <w:jc w:val="center"/>
        <w:rPr>
          <w:rFonts w:ascii="Times New Roman" w:hAnsi="Times New Roman" w:cs="Times New Roman"/>
          <w:sz w:val="28"/>
        </w:rPr>
      </w:pPr>
      <w:bookmarkStart w:id="101" w:name="_Toc105597622"/>
      <w:r>
        <w:rPr>
          <w:rFonts w:ascii="Times New Roman" w:hAnsi="Times New Roman" w:cs="Times New Roman" w:hint="eastAsia"/>
          <w:sz w:val="28"/>
        </w:rPr>
        <w:lastRenderedPageBreak/>
        <w:t>十二、基金份额持有人名册的保管</w:t>
      </w:r>
      <w:bookmarkEnd w:id="101"/>
    </w:p>
    <w:p w14:paraId="6913959F"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基金份额持有人名册至少应包括基金份额持有人的名称、证件号码和持有的基金份额。基金份额持有人名册由基金登记机构根据基金管理人的指令编制和保管，基金管理人应保管基金持有人名册，保存期不少于法定最低期限。如不能妥善保管，则按相关法律法规承担责任。在基金托管人要求或编制中期报告和年度报告前，基金管理人应将有关资料送交基金托管人，不得无故拒绝或延误提供，并保证其真实性、准确性和完整性。基金管理人和基金托管人不得将所保管的基金份额持有人名册用于基金托管业务以外的其他用途，并应遵守保密义务。</w:t>
      </w:r>
    </w:p>
    <w:p w14:paraId="2F5FD220" w14:textId="77777777" w:rsidR="00232224" w:rsidRDefault="00000000">
      <w:pPr>
        <w:pStyle w:val="112"/>
        <w:spacing w:beforeLines="100" w:before="312" w:beforeAutospacing="0" w:afterLines="50" w:after="156" w:afterAutospacing="0" w:line="360" w:lineRule="auto"/>
        <w:jc w:val="center"/>
        <w:rPr>
          <w:rFonts w:ascii="Times New Roman" w:hAnsi="Times New Roman" w:cs="Times New Roman"/>
          <w:sz w:val="28"/>
        </w:rPr>
      </w:pPr>
      <w:bookmarkStart w:id="102" w:name="_Toc105597623"/>
      <w:r>
        <w:rPr>
          <w:rFonts w:ascii="Times New Roman" w:hAnsi="Times New Roman" w:cs="Times New Roman" w:hint="eastAsia"/>
          <w:sz w:val="28"/>
        </w:rPr>
        <w:t>十三、基金有关文件档案的保存</w:t>
      </w:r>
      <w:bookmarkEnd w:id="102"/>
    </w:p>
    <w:p w14:paraId="0A0CD58B"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基金管理人应保存基金财产管理业务活动的记录、账册、报表和其他相关资料，基金托管人应保存基金托管业务活动的记录、账册、报表和其他相关资料，</w:t>
      </w:r>
      <w:r>
        <w:rPr>
          <w:rFonts w:ascii="宋体" w:hAnsi="宋体" w:cs="Times New Roman" w:hint="eastAsia"/>
          <w:sz w:val="24"/>
          <w:szCs w:val="24"/>
        </w:rPr>
        <w:t>保存期限不低于法律法规规定的最低期限</w:t>
      </w:r>
      <w:r>
        <w:rPr>
          <w:rFonts w:ascii="宋体" w:hAnsi="宋体" w:cs="Times New Roman" w:hint="eastAsia"/>
          <w:sz w:val="24"/>
          <w:szCs w:val="24"/>
          <w:highlight w:val="white"/>
        </w:rPr>
        <w:t>。</w:t>
      </w:r>
    </w:p>
    <w:p w14:paraId="2968E6A7"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基金管理人和基金托管人应按各自职责完整保存原始凭证、记账凭证、基金账册、会计报告、交易记录和重要合同等，保存期限不少于法定最低期限。</w:t>
      </w:r>
    </w:p>
    <w:p w14:paraId="38654E24"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基金管理人签署重大合同文本后，应及时将合同文本正本送达基金托管人处。基金管理人应及时将与本基金账务处理、资金划拨等有关的合同、协议传真给基金托管人。</w:t>
      </w:r>
    </w:p>
    <w:p w14:paraId="21737AC5"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基金管理人或基金托管人变更后，未变更的一方有义务协助接任人接收基金的有关文件。</w:t>
      </w:r>
      <w:bookmarkStart w:id="103" w:name="_Toc22454470"/>
      <w:bookmarkStart w:id="104" w:name="_Toc125892450"/>
      <w:bookmarkStart w:id="105" w:name="_Toc466788864"/>
      <w:bookmarkStart w:id="106" w:name="_Toc523830005"/>
      <w:bookmarkStart w:id="107" w:name="_Toc508720692"/>
      <w:bookmarkEnd w:id="103"/>
      <w:bookmarkEnd w:id="104"/>
      <w:bookmarkEnd w:id="105"/>
      <w:bookmarkEnd w:id="106"/>
      <w:bookmarkEnd w:id="107"/>
    </w:p>
    <w:p w14:paraId="66399A2D" w14:textId="77777777" w:rsidR="00232224" w:rsidRDefault="00000000">
      <w:pPr>
        <w:pStyle w:val="112"/>
        <w:spacing w:beforeLines="100" w:before="312" w:beforeAutospacing="0" w:afterLines="50" w:after="156" w:afterAutospacing="0" w:line="360" w:lineRule="auto"/>
        <w:jc w:val="center"/>
        <w:rPr>
          <w:rFonts w:ascii="Times New Roman" w:hAnsi="Times New Roman" w:cs="Times New Roman"/>
          <w:sz w:val="28"/>
        </w:rPr>
      </w:pPr>
      <w:bookmarkStart w:id="108" w:name="_Toc105597624"/>
      <w:r>
        <w:rPr>
          <w:rFonts w:ascii="Times New Roman" w:hAnsi="Times New Roman" w:cs="Times New Roman" w:hint="eastAsia"/>
          <w:sz w:val="28"/>
        </w:rPr>
        <w:t>十四、基金管理人和基金托管人的更换</w:t>
      </w:r>
      <w:bookmarkEnd w:id="108"/>
    </w:p>
    <w:p w14:paraId="4ADC9C8B" w14:textId="41216C42" w:rsidR="00232224" w:rsidRDefault="00000000">
      <w:pPr>
        <w:spacing w:line="360" w:lineRule="auto"/>
        <w:ind w:firstLineChars="200" w:firstLine="480"/>
        <w:rPr>
          <w:rFonts w:ascii="宋体" w:hAnsi="宋体" w:cs="Times New Roman"/>
          <w:sz w:val="24"/>
          <w:szCs w:val="24"/>
          <w:highlight w:val="white"/>
        </w:rPr>
      </w:pPr>
      <w:bookmarkStart w:id="109" w:name="_Toc22454471"/>
      <w:bookmarkStart w:id="110" w:name="_Toc77663031"/>
      <w:bookmarkEnd w:id="109"/>
      <w:bookmarkEnd w:id="110"/>
      <w:r>
        <w:rPr>
          <w:rFonts w:ascii="宋体" w:hAnsi="宋体" w:cs="Times New Roman" w:hint="eastAsia"/>
          <w:sz w:val="24"/>
          <w:szCs w:val="24"/>
          <w:highlight w:val="white"/>
        </w:rPr>
        <w:t>（一）基金管理人职责终止后，仍应妥善保管基金管理业务资料，保证不做出对基金份额持有人的利益造成损害的行为，并与临时基金管理人或</w:t>
      </w:r>
      <w:proofErr w:type="gramStart"/>
      <w:r>
        <w:rPr>
          <w:rFonts w:ascii="宋体" w:hAnsi="宋体" w:cs="Times New Roman" w:hint="eastAsia"/>
          <w:sz w:val="24"/>
          <w:szCs w:val="24"/>
          <w:highlight w:val="white"/>
        </w:rPr>
        <w:t>新任基金</w:t>
      </w:r>
      <w:proofErr w:type="gramEnd"/>
      <w:r>
        <w:rPr>
          <w:rFonts w:ascii="宋体" w:hAnsi="宋体" w:cs="Times New Roman" w:hint="eastAsia"/>
          <w:sz w:val="24"/>
          <w:szCs w:val="24"/>
          <w:highlight w:val="white"/>
        </w:rPr>
        <w:t>管理人及时办理基金管理业务的移交手续，</w:t>
      </w:r>
      <w:r>
        <w:rPr>
          <w:rFonts w:hint="eastAsia"/>
          <w:bCs/>
          <w:sz w:val="24"/>
        </w:rPr>
        <w:t>临时基金管理人或</w:t>
      </w:r>
      <w:proofErr w:type="gramStart"/>
      <w:r>
        <w:rPr>
          <w:rFonts w:hint="eastAsia"/>
          <w:bCs/>
          <w:sz w:val="24"/>
        </w:rPr>
        <w:t>新任基金</w:t>
      </w:r>
      <w:proofErr w:type="gramEnd"/>
      <w:r>
        <w:rPr>
          <w:rFonts w:hint="eastAsia"/>
          <w:bCs/>
          <w:sz w:val="24"/>
        </w:rPr>
        <w:t>管理人应及时接收</w:t>
      </w:r>
      <w:r>
        <w:rPr>
          <w:rFonts w:ascii="宋体" w:hAnsi="宋体" w:cs="Times New Roman" w:hint="eastAsia"/>
          <w:sz w:val="24"/>
          <w:szCs w:val="24"/>
          <w:highlight w:val="white"/>
        </w:rPr>
        <w:t>。基金托管人应给予积极配合，并与临时基金管理人或</w:t>
      </w:r>
      <w:proofErr w:type="gramStart"/>
      <w:r>
        <w:rPr>
          <w:rFonts w:ascii="宋体" w:hAnsi="宋体" w:cs="Times New Roman" w:hint="eastAsia"/>
          <w:sz w:val="24"/>
          <w:szCs w:val="24"/>
          <w:highlight w:val="white"/>
        </w:rPr>
        <w:t>新任基金</w:t>
      </w:r>
      <w:proofErr w:type="gramEnd"/>
      <w:r>
        <w:rPr>
          <w:rFonts w:ascii="宋体" w:hAnsi="宋体" w:cs="Times New Roman" w:hint="eastAsia"/>
          <w:sz w:val="24"/>
          <w:szCs w:val="24"/>
          <w:highlight w:val="white"/>
        </w:rPr>
        <w:t>管理人核对基金资产总值和净值。</w:t>
      </w:r>
    </w:p>
    <w:p w14:paraId="0235D3C7" w14:textId="31B185EB"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lastRenderedPageBreak/>
        <w:t>（二）基金托管人职责终止后，仍应妥善保管基金财产和基金托管业务资料，保证不做出对基金份额持有人的利益造成损害的行为，并与</w:t>
      </w:r>
      <w:proofErr w:type="gramStart"/>
      <w:r>
        <w:rPr>
          <w:rFonts w:ascii="宋体" w:hAnsi="宋体" w:cs="Times New Roman" w:hint="eastAsia"/>
          <w:sz w:val="24"/>
          <w:szCs w:val="24"/>
          <w:highlight w:val="white"/>
        </w:rPr>
        <w:t>新任基金</w:t>
      </w:r>
      <w:proofErr w:type="gramEnd"/>
      <w:r>
        <w:rPr>
          <w:rFonts w:ascii="宋体" w:hAnsi="宋体" w:cs="Times New Roman" w:hint="eastAsia"/>
          <w:sz w:val="24"/>
          <w:szCs w:val="24"/>
          <w:highlight w:val="white"/>
        </w:rPr>
        <w:t>托管人或临时基金托管人及时办理基金财产和基金托管业务的移交手续，</w:t>
      </w:r>
      <w:proofErr w:type="gramStart"/>
      <w:r>
        <w:rPr>
          <w:rFonts w:hint="eastAsia"/>
          <w:bCs/>
          <w:sz w:val="24"/>
        </w:rPr>
        <w:t>新任基金</w:t>
      </w:r>
      <w:proofErr w:type="gramEnd"/>
      <w:r>
        <w:rPr>
          <w:rFonts w:hint="eastAsia"/>
          <w:bCs/>
          <w:sz w:val="24"/>
        </w:rPr>
        <w:t>托管人或临时基金托管人应及时接收</w:t>
      </w:r>
      <w:r>
        <w:rPr>
          <w:rFonts w:ascii="宋体" w:hAnsi="宋体" w:cs="Times New Roman" w:hint="eastAsia"/>
          <w:sz w:val="24"/>
          <w:szCs w:val="24"/>
          <w:highlight w:val="white"/>
        </w:rPr>
        <w:t>。基金管理人应给予积极配合，并与</w:t>
      </w:r>
      <w:proofErr w:type="gramStart"/>
      <w:r>
        <w:rPr>
          <w:rFonts w:ascii="宋体" w:hAnsi="宋体" w:cs="Times New Roman" w:hint="eastAsia"/>
          <w:sz w:val="24"/>
          <w:szCs w:val="24"/>
          <w:highlight w:val="white"/>
        </w:rPr>
        <w:t>新任基金</w:t>
      </w:r>
      <w:proofErr w:type="gramEnd"/>
      <w:r>
        <w:rPr>
          <w:rFonts w:ascii="宋体" w:hAnsi="宋体" w:cs="Times New Roman" w:hint="eastAsia"/>
          <w:sz w:val="24"/>
          <w:szCs w:val="24"/>
          <w:highlight w:val="white"/>
        </w:rPr>
        <w:t>托管人或临时基金托管人核对基金资产总值</w:t>
      </w:r>
      <w:r>
        <w:rPr>
          <w:rFonts w:hint="eastAsia"/>
          <w:bCs/>
          <w:sz w:val="24"/>
        </w:rPr>
        <w:t>和净值</w:t>
      </w:r>
      <w:r>
        <w:rPr>
          <w:rFonts w:ascii="宋体" w:hAnsi="宋体" w:cs="Times New Roman" w:hint="eastAsia"/>
          <w:sz w:val="24"/>
          <w:szCs w:val="24"/>
          <w:highlight w:val="white"/>
        </w:rPr>
        <w:t>。</w:t>
      </w:r>
    </w:p>
    <w:p w14:paraId="660A3037"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（三）其他事宜</w:t>
      </w:r>
      <w:proofErr w:type="gramStart"/>
      <w:r>
        <w:rPr>
          <w:rFonts w:ascii="宋体" w:hAnsi="宋体" w:cs="Times New Roman" w:hint="eastAsia"/>
          <w:sz w:val="24"/>
          <w:szCs w:val="24"/>
          <w:highlight w:val="white"/>
        </w:rPr>
        <w:t>见基金</w:t>
      </w:r>
      <w:proofErr w:type="gramEnd"/>
      <w:r>
        <w:rPr>
          <w:rFonts w:ascii="宋体" w:hAnsi="宋体" w:cs="Times New Roman" w:hint="eastAsia"/>
          <w:sz w:val="24"/>
          <w:szCs w:val="24"/>
          <w:highlight w:val="white"/>
        </w:rPr>
        <w:t>合同的相关约定。</w:t>
      </w:r>
      <w:bookmarkStart w:id="111" w:name="_Toc125892451"/>
      <w:bookmarkStart w:id="112" w:name="_Toc466788866"/>
      <w:bookmarkStart w:id="113" w:name="_Toc22454478"/>
      <w:bookmarkStart w:id="114" w:name="_Toc508720693"/>
      <w:bookmarkStart w:id="115" w:name="_Toc523830007"/>
      <w:bookmarkEnd w:id="111"/>
      <w:bookmarkEnd w:id="112"/>
      <w:bookmarkEnd w:id="113"/>
      <w:bookmarkEnd w:id="114"/>
      <w:bookmarkEnd w:id="115"/>
    </w:p>
    <w:p w14:paraId="2FE88D4B" w14:textId="77777777" w:rsidR="00232224" w:rsidRDefault="00000000">
      <w:pPr>
        <w:pStyle w:val="112"/>
        <w:spacing w:beforeLines="100" w:before="312" w:beforeAutospacing="0" w:afterLines="50" w:after="156" w:afterAutospacing="0" w:line="360" w:lineRule="auto"/>
        <w:jc w:val="center"/>
        <w:rPr>
          <w:rFonts w:ascii="Times New Roman" w:hAnsi="Times New Roman" w:cs="Times New Roman"/>
          <w:sz w:val="28"/>
        </w:rPr>
      </w:pPr>
      <w:bookmarkStart w:id="116" w:name="_Toc105597625"/>
      <w:r>
        <w:rPr>
          <w:rFonts w:ascii="Times New Roman" w:hAnsi="Times New Roman" w:cs="Times New Roman" w:hint="eastAsia"/>
          <w:sz w:val="28"/>
        </w:rPr>
        <w:t>十五、禁止行为</w:t>
      </w:r>
      <w:bookmarkEnd w:id="116"/>
    </w:p>
    <w:p w14:paraId="07814287"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本协议项下的基金管理人和基金托管人禁止行为如下：</w:t>
      </w:r>
    </w:p>
    <w:p w14:paraId="04E1E513"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（一）《基金法》禁止的行为。</w:t>
      </w:r>
    </w:p>
    <w:p w14:paraId="691DCDEF"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（二）除非法律法规及中国证监会另有规定，托管协议当事人用基金财产从事《基金法》禁止的投资或活动。</w:t>
      </w:r>
    </w:p>
    <w:p w14:paraId="37724754"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（三）除《基金法》及其他有关法规、《基金合同》及中国证监会另有规定，基金管理人、基金托管人及其董事、监事、高级管理人员和其他从业人员利用基金财产为自身和任何第三人谋取利益。</w:t>
      </w:r>
    </w:p>
    <w:p w14:paraId="362744DF"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（四）基金管理人与基金托管人对基金运作过程中任何尚未按有关法规规定的方式公开披露的信息，对他人泄露。</w:t>
      </w:r>
    </w:p>
    <w:p w14:paraId="1B89F34F"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（五）基金管理人在资金头寸不足的情况下，向基金托管人发送划款指令。</w:t>
      </w:r>
    </w:p>
    <w:p w14:paraId="1647DE71"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（六）在资金头寸充足且为基金托管人执行指令留出足够时间的情况下，基金托管人对基金管理人符合法律法规、《基金合同》、本协议的指令拖延或拒绝执行。</w:t>
      </w:r>
    </w:p>
    <w:p w14:paraId="5E2D4621"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（七）除根据基金管理人指令或《基金合同》另有规定的，基金托管人动用或处分基金财产。</w:t>
      </w:r>
    </w:p>
    <w:p w14:paraId="09E838DB"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（八）基金管理人与基金托管人为同一机构，相互出资或者持有股份。基金托管人、基金管理人应在行政上、财务上互相不独立，其高级管理人员或其他从业人员不得相互兼职。</w:t>
      </w:r>
    </w:p>
    <w:p w14:paraId="2CD9ED5F"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（九）《基金合同》投资限制中禁止投资的行为。</w:t>
      </w:r>
    </w:p>
    <w:p w14:paraId="3F7417C0"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（十）法律法规、《基金合同》和本协议禁止的其他行为。</w:t>
      </w:r>
    </w:p>
    <w:p w14:paraId="63BFEA1A"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法律法规或监管部门调整上述限制的，本基金投资按照调整后的规定执行。</w:t>
      </w:r>
      <w:r>
        <w:rPr>
          <w:rFonts w:ascii="宋体" w:hAnsi="宋体" w:cs="Times New Roman" w:hint="eastAsia"/>
          <w:sz w:val="24"/>
          <w:szCs w:val="24"/>
          <w:highlight w:val="white"/>
        </w:rPr>
        <w:lastRenderedPageBreak/>
        <w:t>法律、法规和监管部门取消上述禁止性规定的，如适用于本基金，基金管理人在履行适当程序后，则本基金不受上述相关限制。</w:t>
      </w:r>
      <w:bookmarkStart w:id="117" w:name="_Toc523830008"/>
      <w:bookmarkStart w:id="118" w:name="_Toc125892452"/>
      <w:bookmarkStart w:id="119" w:name="_Toc508720694"/>
      <w:bookmarkStart w:id="120" w:name="_Toc466788867"/>
      <w:bookmarkStart w:id="121" w:name="_Toc22454479"/>
      <w:bookmarkEnd w:id="117"/>
      <w:bookmarkEnd w:id="118"/>
      <w:bookmarkEnd w:id="119"/>
      <w:bookmarkEnd w:id="120"/>
      <w:bookmarkEnd w:id="121"/>
    </w:p>
    <w:p w14:paraId="5484E0FA" w14:textId="77777777" w:rsidR="00232224" w:rsidRDefault="00000000">
      <w:pPr>
        <w:pStyle w:val="112"/>
        <w:spacing w:beforeLines="100" w:before="312" w:beforeAutospacing="0" w:afterLines="50" w:after="156" w:afterAutospacing="0" w:line="360" w:lineRule="auto"/>
        <w:jc w:val="center"/>
        <w:rPr>
          <w:rFonts w:ascii="Times New Roman" w:hAnsi="Times New Roman" w:cs="Times New Roman"/>
          <w:sz w:val="28"/>
        </w:rPr>
      </w:pPr>
      <w:bookmarkStart w:id="122" w:name="_Toc105597626"/>
      <w:r>
        <w:rPr>
          <w:rFonts w:ascii="Times New Roman" w:hAnsi="Times New Roman" w:cs="Times New Roman" w:hint="eastAsia"/>
          <w:sz w:val="28"/>
        </w:rPr>
        <w:t>十六、基金托管协议的变更、终止与基金财产的清算</w:t>
      </w:r>
      <w:bookmarkEnd w:id="122"/>
    </w:p>
    <w:p w14:paraId="08B7C87D" w14:textId="77777777" w:rsidR="00232224" w:rsidRDefault="00000000">
      <w:pPr>
        <w:spacing w:line="360" w:lineRule="auto"/>
        <w:ind w:firstLineChars="200" w:firstLine="480"/>
        <w:rPr>
          <w:rFonts w:ascii="宋体" w:hAnsi="宋体" w:cs="Times New Roman"/>
          <w:sz w:val="24"/>
          <w:szCs w:val="24"/>
          <w:highlight w:val="white"/>
        </w:rPr>
      </w:pPr>
      <w:bookmarkStart w:id="123" w:name="_Toc510842757"/>
      <w:bookmarkEnd w:id="123"/>
      <w:r>
        <w:rPr>
          <w:rFonts w:ascii="宋体" w:hAnsi="宋体" w:cs="Times New Roman" w:hint="eastAsia"/>
          <w:sz w:val="24"/>
          <w:szCs w:val="24"/>
          <w:highlight w:val="white"/>
        </w:rPr>
        <w:t>（一）基金托管协议的变更</w:t>
      </w:r>
    </w:p>
    <w:p w14:paraId="0D932BF2"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本协议双方当事人经协商一致，可以对协议进行修改。修改后的新协议，其内容不得与《基金合同》的规定有任何冲突，并报中国证监会备案。</w:t>
      </w:r>
    </w:p>
    <w:p w14:paraId="62098FCB"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（二）基金托管协议的终止</w:t>
      </w:r>
    </w:p>
    <w:p w14:paraId="23DE5762"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1</w:t>
      </w:r>
      <w:r>
        <w:rPr>
          <w:rFonts w:ascii="宋体" w:hAnsi="宋体" w:cs="Times New Roman" w:hint="eastAsia"/>
          <w:sz w:val="24"/>
          <w:szCs w:val="24"/>
          <w:highlight w:val="white"/>
        </w:rPr>
        <w:t>、《基金合同》终止；</w:t>
      </w:r>
    </w:p>
    <w:p w14:paraId="23CB0F03"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2</w:t>
      </w:r>
      <w:r>
        <w:rPr>
          <w:rFonts w:ascii="宋体" w:hAnsi="宋体" w:cs="Times New Roman" w:hint="eastAsia"/>
          <w:sz w:val="24"/>
          <w:szCs w:val="24"/>
          <w:highlight w:val="white"/>
        </w:rPr>
        <w:t>、基金托管人解散、依法被撤销、破产，被依法取消基金托管资格或因其他事由造成其他基金托管人接管基金财产；</w:t>
      </w:r>
    </w:p>
    <w:p w14:paraId="400BB9B6"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3</w:t>
      </w:r>
      <w:r>
        <w:rPr>
          <w:rFonts w:ascii="宋体" w:hAnsi="宋体" w:cs="Times New Roman" w:hint="eastAsia"/>
          <w:sz w:val="24"/>
          <w:szCs w:val="24"/>
          <w:highlight w:val="white"/>
        </w:rPr>
        <w:t>、基金管理人解散、依法被撤销、破产，被依法取消基金管理资格或因其他事由造成其他基金管理人接管基金管理权；</w:t>
      </w:r>
    </w:p>
    <w:p w14:paraId="1CE049DF"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4</w:t>
      </w:r>
      <w:r>
        <w:rPr>
          <w:rFonts w:ascii="宋体" w:hAnsi="宋体" w:cs="Times New Roman" w:hint="eastAsia"/>
          <w:sz w:val="24"/>
          <w:szCs w:val="24"/>
          <w:highlight w:val="white"/>
        </w:rPr>
        <w:t>、发生《基金法》、《销售办法》、《运作办法》或其他法律、法规规定以及</w:t>
      </w:r>
      <w:r>
        <w:rPr>
          <w:rFonts w:ascii="宋体" w:hAnsi="宋体" w:cs="Times New Roman" w:hint="eastAsia"/>
          <w:sz w:val="24"/>
          <w:szCs w:val="24"/>
        </w:rPr>
        <w:t>《基金合同》约定</w:t>
      </w:r>
      <w:r>
        <w:rPr>
          <w:rFonts w:ascii="宋体" w:hAnsi="宋体" w:cs="Times New Roman" w:hint="eastAsia"/>
          <w:sz w:val="24"/>
          <w:szCs w:val="24"/>
          <w:highlight w:val="white"/>
        </w:rPr>
        <w:t>的终止事项。</w:t>
      </w:r>
    </w:p>
    <w:p w14:paraId="637E9FD0"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（三）基金财产的清算</w:t>
      </w:r>
    </w:p>
    <w:p w14:paraId="0BC5EA6C"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1、基金财产清算小组：自出现《基金合同》终止事由之日起30个工作日内成立清算小组，基金管理人组织基金财产清算小组并在中国证监会的监督下进行基金财产清算。</w:t>
      </w:r>
    </w:p>
    <w:p w14:paraId="42BEEE60"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2、基金财产清算小组组成：基金财产清算小组成员由基金管理人、基金托管人、</w:t>
      </w:r>
      <w:r>
        <w:rPr>
          <w:rFonts w:ascii="宋体" w:hAnsi="宋体" w:cs="Times New Roman" w:hint="eastAsia"/>
          <w:sz w:val="24"/>
          <w:szCs w:val="24"/>
          <w:highlight w:val="white"/>
        </w:rPr>
        <w:t>符合《中华人民共和国证券法》规定的</w:t>
      </w:r>
      <w:r>
        <w:rPr>
          <w:rFonts w:ascii="宋体" w:hAnsi="宋体" w:cs="Times New Roman"/>
          <w:sz w:val="24"/>
          <w:szCs w:val="24"/>
          <w:highlight w:val="white"/>
        </w:rPr>
        <w:t>注册会计师、律师以及中国证监会指定的人员组成。基金财产清算小组可以聘用必要的工作人员。</w:t>
      </w:r>
    </w:p>
    <w:p w14:paraId="31CBBB1B"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3、基金财产清算小组职责：基金财产清算小组负责基金财产的保管、清理、估价、变现和分配。基金财产清算小组可以依法进行必要的民事活动。</w:t>
      </w:r>
    </w:p>
    <w:p w14:paraId="6FD5D9AA"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4、基金财产清算程序：</w:t>
      </w:r>
    </w:p>
    <w:p w14:paraId="7A0C4D4F"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（1）《基金合同》终止情形出现时，由基金财产清算小组统一接管基金</w:t>
      </w:r>
      <w:r>
        <w:rPr>
          <w:rFonts w:ascii="宋体" w:hAnsi="宋体" w:cs="Times New Roman" w:hint="eastAsia"/>
          <w:sz w:val="24"/>
          <w:szCs w:val="24"/>
          <w:highlight w:val="white"/>
        </w:rPr>
        <w:t>财产</w:t>
      </w:r>
      <w:r>
        <w:rPr>
          <w:rFonts w:ascii="宋体" w:hAnsi="宋体" w:cs="Times New Roman"/>
          <w:sz w:val="24"/>
          <w:szCs w:val="24"/>
          <w:highlight w:val="white"/>
        </w:rPr>
        <w:t>；</w:t>
      </w:r>
    </w:p>
    <w:p w14:paraId="44FEC7F6"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（2）对基金财产和债权债务进行清理和确认；</w:t>
      </w:r>
    </w:p>
    <w:p w14:paraId="7D49F05F"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（3）对基金财产进行估值和变现；</w:t>
      </w:r>
    </w:p>
    <w:p w14:paraId="18975BB5"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lastRenderedPageBreak/>
        <w:t>（4）制作清算报告；</w:t>
      </w:r>
    </w:p>
    <w:p w14:paraId="01A5F783"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（5）聘请会计师事务所对清算报告进行外部审计，聘请律师事务所对清算报告出具法律意见书；</w:t>
      </w:r>
    </w:p>
    <w:p w14:paraId="57151E60"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（6）将清算报告报中国证监会备案并公告；</w:t>
      </w:r>
    </w:p>
    <w:p w14:paraId="603B3525"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（7）对基金剩余财产进行分配。</w:t>
      </w:r>
    </w:p>
    <w:p w14:paraId="5A72C3CD"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5、基金财产清算的期限为6个月，但因本基金所持证券的流动性受到限制而不能及时变现的，清算期限相应顺延。</w:t>
      </w:r>
    </w:p>
    <w:p w14:paraId="7FCE76DF"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（四）清算费用</w:t>
      </w:r>
    </w:p>
    <w:p w14:paraId="2EB33C54"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清算费用是指基金财产清算小组在进行基金清算过程中发生的所有合理费用，清算费用由基金财产清算小组优先从基金</w:t>
      </w:r>
      <w:r>
        <w:rPr>
          <w:rFonts w:ascii="宋体" w:hAnsi="宋体" w:cs="Times New Roman" w:hint="eastAsia"/>
          <w:sz w:val="24"/>
          <w:szCs w:val="24"/>
          <w:highlight w:val="white"/>
        </w:rPr>
        <w:t>剩余</w:t>
      </w:r>
      <w:r>
        <w:rPr>
          <w:rFonts w:ascii="宋体" w:hAnsi="宋体" w:cs="Times New Roman"/>
          <w:sz w:val="24"/>
          <w:szCs w:val="24"/>
          <w:highlight w:val="white"/>
        </w:rPr>
        <w:t>财产中支付。</w:t>
      </w:r>
    </w:p>
    <w:p w14:paraId="2D1E2AF9"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（五）基金财产清算剩余资产的分配</w:t>
      </w:r>
    </w:p>
    <w:p w14:paraId="79635EBB"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依据基金财产清算的分配方案，将基金财产清算后的全部剩余资产扣除基金财产清算费用、交纳所欠税款并清偿基金债务后，按基金份额持有人持有的基金份额比例进行分配。</w:t>
      </w:r>
    </w:p>
    <w:p w14:paraId="743628B0"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（六）基金财产清算的公告</w:t>
      </w:r>
    </w:p>
    <w:p w14:paraId="5CC3D269"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清算过程中的有关重大事项须及时公告；基金财产清算报告</w:t>
      </w:r>
      <w:proofErr w:type="gramStart"/>
      <w:r>
        <w:rPr>
          <w:rFonts w:ascii="宋体" w:hAnsi="宋体" w:cs="Times New Roman"/>
          <w:sz w:val="24"/>
          <w:szCs w:val="24"/>
          <w:highlight w:val="white"/>
        </w:rPr>
        <w:t>经符合</w:t>
      </w:r>
      <w:proofErr w:type="gramEnd"/>
      <w:r>
        <w:rPr>
          <w:rFonts w:ascii="宋体" w:hAnsi="宋体" w:cs="Times New Roman"/>
          <w:sz w:val="24"/>
          <w:szCs w:val="24"/>
          <w:highlight w:val="white"/>
        </w:rPr>
        <w:t>《</w:t>
      </w:r>
      <w:r>
        <w:rPr>
          <w:rFonts w:ascii="宋体" w:hAnsi="宋体" w:cs="Times New Roman" w:hint="eastAsia"/>
          <w:sz w:val="24"/>
          <w:szCs w:val="24"/>
          <w:highlight w:val="white"/>
        </w:rPr>
        <w:t>中华人民共和国</w:t>
      </w:r>
      <w:r>
        <w:rPr>
          <w:rFonts w:ascii="宋体" w:hAnsi="宋体" w:cs="Times New Roman"/>
          <w:sz w:val="24"/>
          <w:szCs w:val="24"/>
          <w:highlight w:val="white"/>
        </w:rPr>
        <w:t>证券法》规定的会计师事务所审计并由律师事务所出具法律意见书后报中国证监会备案并公告。基金财产清算公告于基金财产清算报告报中国证监会备案后5个工作日内由基金财产清算小组进行公告</w:t>
      </w:r>
      <w:r>
        <w:rPr>
          <w:rFonts w:ascii="宋体" w:hAnsi="宋体" w:cs="Times New Roman" w:hint="eastAsia"/>
          <w:sz w:val="24"/>
          <w:szCs w:val="24"/>
        </w:rPr>
        <w:t>，基金财产清算小组应当将清算报告登载在规定网站上，并将清算报告提示性公告登载在规定报刊上</w:t>
      </w:r>
      <w:r>
        <w:rPr>
          <w:rFonts w:ascii="宋体" w:hAnsi="宋体" w:cs="Times New Roman"/>
          <w:sz w:val="24"/>
          <w:szCs w:val="24"/>
          <w:highlight w:val="white"/>
        </w:rPr>
        <w:t>。</w:t>
      </w:r>
    </w:p>
    <w:p w14:paraId="5F6BE454"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（七）基金财产清算账册及文件的保存</w:t>
      </w:r>
    </w:p>
    <w:p w14:paraId="492350B8" w14:textId="78317CE6"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基金财产清算账册及有关文件由基金托管人</w:t>
      </w:r>
      <w:r>
        <w:rPr>
          <w:rFonts w:ascii="宋体" w:hAnsi="宋体" w:cs="Times New Roman" w:hint="eastAsia"/>
          <w:sz w:val="24"/>
          <w:szCs w:val="24"/>
          <w:highlight w:val="white"/>
        </w:rPr>
        <w:t>按照法律法规规定的期限保存</w:t>
      </w:r>
      <w:r>
        <w:rPr>
          <w:rFonts w:ascii="宋体" w:hAnsi="宋体" w:cs="Times New Roman"/>
          <w:sz w:val="24"/>
          <w:szCs w:val="24"/>
          <w:highlight w:val="white"/>
        </w:rPr>
        <w:t>。</w:t>
      </w:r>
      <w:bookmarkStart w:id="124" w:name="_Toc508720695"/>
      <w:bookmarkEnd w:id="124"/>
    </w:p>
    <w:p w14:paraId="6ADC7364" w14:textId="77777777" w:rsidR="00232224" w:rsidRDefault="00000000">
      <w:pPr>
        <w:pStyle w:val="112"/>
        <w:spacing w:beforeLines="100" w:before="312" w:beforeAutospacing="0" w:afterLines="50" w:after="156" w:afterAutospacing="0" w:line="360" w:lineRule="auto"/>
        <w:jc w:val="center"/>
        <w:rPr>
          <w:rFonts w:ascii="Times New Roman" w:hAnsi="Times New Roman" w:cs="Times New Roman"/>
          <w:sz w:val="28"/>
        </w:rPr>
      </w:pPr>
      <w:bookmarkStart w:id="125" w:name="_Toc105597627"/>
      <w:r>
        <w:rPr>
          <w:rFonts w:ascii="Times New Roman" w:hAnsi="Times New Roman" w:cs="Times New Roman" w:hint="eastAsia"/>
          <w:sz w:val="28"/>
        </w:rPr>
        <w:t>十七、违约责任</w:t>
      </w:r>
      <w:bookmarkEnd w:id="125"/>
    </w:p>
    <w:p w14:paraId="2643A749"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（一）基金管理人或基金托管人不履行本协议或履行本协议不符合约定的，应当承担违约责任；</w:t>
      </w:r>
    </w:p>
    <w:p w14:paraId="0C755AFD"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（二）</w:t>
      </w:r>
      <w:bookmarkStart w:id="126" w:name="OLE_LINK3"/>
      <w:bookmarkEnd w:id="126"/>
      <w:r>
        <w:rPr>
          <w:rFonts w:ascii="宋体" w:hAnsi="宋体" w:cs="Times New Roman" w:hint="eastAsia"/>
          <w:sz w:val="24"/>
          <w:szCs w:val="24"/>
          <w:highlight w:val="white"/>
        </w:rPr>
        <w:t>基金管理人、基金托管人在履行各自职责的过程中，违反《基金法》规定或者</w:t>
      </w:r>
      <w:r>
        <w:rPr>
          <w:rFonts w:hint="eastAsia"/>
          <w:bCs/>
          <w:sz w:val="24"/>
        </w:rPr>
        <w:t>《基金合同》及</w:t>
      </w:r>
      <w:r>
        <w:rPr>
          <w:rFonts w:ascii="宋体" w:hAnsi="宋体" w:cs="Times New Roman" w:hint="eastAsia"/>
          <w:sz w:val="24"/>
          <w:szCs w:val="24"/>
          <w:highlight w:val="white"/>
        </w:rPr>
        <w:t>本托管协议约定，给基金财产或者基金份额持有人造成损害的，应当分别对各自的行为依法承担赔偿责任；因共同行为给基金财产</w:t>
      </w:r>
      <w:r>
        <w:rPr>
          <w:rFonts w:ascii="宋体" w:hAnsi="宋体" w:cs="Times New Roman" w:hint="eastAsia"/>
          <w:sz w:val="24"/>
          <w:szCs w:val="24"/>
          <w:highlight w:val="white"/>
        </w:rPr>
        <w:lastRenderedPageBreak/>
        <w:t>或者基金份额持有人造成损害的，应当承担连带赔偿责任，对损失的赔偿，仅限于直接损失，</w:t>
      </w:r>
      <w:r>
        <w:rPr>
          <w:rFonts w:hint="eastAsia"/>
          <w:bCs/>
          <w:sz w:val="24"/>
        </w:rPr>
        <w:t>一方承担连带责任后有权根据另一方过错程度向另一方追偿。</w:t>
      </w:r>
      <w:r>
        <w:rPr>
          <w:rFonts w:ascii="宋体" w:hAnsi="宋体" w:cs="Times New Roman" w:hint="eastAsia"/>
          <w:sz w:val="24"/>
          <w:szCs w:val="24"/>
          <w:highlight w:val="white"/>
        </w:rPr>
        <w:t>。但是发生下列情况，当事人免责：</w:t>
      </w:r>
    </w:p>
    <w:p w14:paraId="10850499"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1、不可抗力；</w:t>
      </w:r>
    </w:p>
    <w:p w14:paraId="5A0E1F06"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2、基金管理人和/或基金托管人按照当时有效的法律法规</w:t>
      </w:r>
      <w:r>
        <w:rPr>
          <w:rFonts w:ascii="宋体" w:hAnsi="宋体" w:cs="Times New Roman" w:hint="eastAsia"/>
          <w:sz w:val="24"/>
          <w:szCs w:val="24"/>
          <w:highlight w:val="white"/>
        </w:rPr>
        <w:t>、规章、市场交易规则</w:t>
      </w:r>
      <w:r>
        <w:rPr>
          <w:rFonts w:ascii="宋体" w:hAnsi="宋体" w:cs="Times New Roman"/>
          <w:sz w:val="24"/>
          <w:szCs w:val="24"/>
          <w:highlight w:val="white"/>
        </w:rPr>
        <w:t>或中国证监会的规定作为或不作为而造成的损失等；</w:t>
      </w:r>
    </w:p>
    <w:p w14:paraId="6AC900EB" w14:textId="6F0602D9"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3、基金管理人由于按照基金合同规定的投资原则</w:t>
      </w:r>
      <w:r>
        <w:rPr>
          <w:rFonts w:ascii="宋体" w:hAnsi="宋体" w:cs="Times New Roman" w:hint="eastAsia"/>
          <w:sz w:val="24"/>
          <w:szCs w:val="24"/>
          <w:highlight w:val="white"/>
        </w:rPr>
        <w:t>行使</w:t>
      </w:r>
      <w:r>
        <w:rPr>
          <w:rFonts w:ascii="宋体" w:hAnsi="宋体" w:cs="Times New Roman"/>
          <w:sz w:val="24"/>
          <w:szCs w:val="24"/>
          <w:highlight w:val="white"/>
        </w:rPr>
        <w:t>或</w:t>
      </w:r>
      <w:r>
        <w:rPr>
          <w:rFonts w:ascii="宋体" w:hAnsi="宋体" w:cs="Times New Roman" w:hint="eastAsia"/>
          <w:sz w:val="24"/>
          <w:szCs w:val="24"/>
          <w:highlight w:val="white"/>
        </w:rPr>
        <w:t>不行使其投资权而</w:t>
      </w:r>
      <w:r>
        <w:rPr>
          <w:rFonts w:ascii="宋体" w:hAnsi="宋体" w:cs="Times New Roman"/>
          <w:sz w:val="24"/>
          <w:szCs w:val="24"/>
          <w:highlight w:val="white"/>
        </w:rPr>
        <w:t>造成的损失等。</w:t>
      </w:r>
    </w:p>
    <w:p w14:paraId="3C352C1C"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如果由于本协议一方当事人（“违约方”）的违约行为给基金资产或基金投资者造成损失，而另一方当事人（“守约方”）赔偿了基金资产或基金投资者的损失，则守约方有权向违约方追索由此遭受的所有直接损失。</w:t>
      </w:r>
    </w:p>
    <w:p w14:paraId="5EEA0802"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当事人一方违约，另一方在职责范围内有义务及时采取必要的措施，尽力防止损失的扩大。没有采取适当措施致使损失进一步扩大的，不得就扩大的损失要求赔偿。守约方因防止损失扩大而支出的合理费用由违约方承担。</w:t>
      </w:r>
    </w:p>
    <w:p w14:paraId="53422CC3"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sz w:val="24"/>
          <w:szCs w:val="24"/>
          <w:highlight w:val="white"/>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2CBC0E3B"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（三）当事人违约，给另一方当事人造成损失的，应就直接损失进行赔偿；给基金资产造成损失的，应就直接损失进行赔偿，另一方当事人有权利及义务代表基金向违约方追偿。</w:t>
      </w:r>
    </w:p>
    <w:p w14:paraId="457ABBA9"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（四）违约行为虽已发生，但本托管协议能够继续履行的，在最大限度地保护基金份额持有人利益的前提下，基金管理人和基金托管人应当继续履行本协议；</w:t>
      </w:r>
      <w:bookmarkStart w:id="127" w:name="_Toc523830010"/>
      <w:bookmarkStart w:id="128" w:name="_Toc466788868"/>
      <w:bookmarkStart w:id="129" w:name="_Toc125892454"/>
      <w:bookmarkStart w:id="130" w:name="_Toc22454480"/>
      <w:bookmarkEnd w:id="127"/>
      <w:bookmarkEnd w:id="128"/>
      <w:bookmarkEnd w:id="129"/>
      <w:bookmarkEnd w:id="130"/>
      <w:proofErr w:type="gramStart"/>
      <w:r>
        <w:rPr>
          <w:rFonts w:ascii="宋体" w:hAnsi="宋体" w:cs="Times New Roman" w:hint="eastAsia"/>
          <w:sz w:val="24"/>
          <w:szCs w:val="24"/>
          <w:highlight w:val="white"/>
        </w:rPr>
        <w:t>若基金</w:t>
      </w:r>
      <w:proofErr w:type="gramEnd"/>
      <w:r>
        <w:rPr>
          <w:rFonts w:ascii="宋体" w:hAnsi="宋体" w:cs="Times New Roman" w:hint="eastAsia"/>
          <w:sz w:val="24"/>
          <w:szCs w:val="24"/>
          <w:highlight w:val="white"/>
        </w:rPr>
        <w:t>管理人或基金托管人因履行本协议而被起诉，另一方应提供合理的必要支持。</w:t>
      </w:r>
    </w:p>
    <w:p w14:paraId="107E0E26"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（五）本协议所指损失均为直接损失。</w:t>
      </w:r>
      <w:bookmarkStart w:id="131" w:name="_Toc508720696"/>
      <w:bookmarkEnd w:id="131"/>
    </w:p>
    <w:p w14:paraId="3F76543B" w14:textId="77777777" w:rsidR="009425F0" w:rsidRDefault="009425F0">
      <w:pPr>
        <w:spacing w:line="360" w:lineRule="auto"/>
        <w:ind w:firstLineChars="200" w:firstLine="480"/>
        <w:rPr>
          <w:rFonts w:ascii="宋体" w:hAnsi="宋体" w:cs="Times New Roman"/>
          <w:sz w:val="24"/>
          <w:szCs w:val="24"/>
          <w:highlight w:val="white"/>
        </w:rPr>
      </w:pPr>
    </w:p>
    <w:p w14:paraId="161957ED" w14:textId="77777777" w:rsidR="009425F0" w:rsidRDefault="009425F0">
      <w:pPr>
        <w:spacing w:line="360" w:lineRule="auto"/>
        <w:ind w:firstLineChars="200" w:firstLine="480"/>
        <w:rPr>
          <w:rFonts w:ascii="宋体" w:hAnsi="宋体" w:cs="Times New Roman"/>
          <w:sz w:val="24"/>
          <w:szCs w:val="24"/>
          <w:highlight w:val="white"/>
        </w:rPr>
      </w:pPr>
    </w:p>
    <w:p w14:paraId="4EF193C8" w14:textId="77777777" w:rsidR="00232224" w:rsidRDefault="00000000">
      <w:pPr>
        <w:pStyle w:val="112"/>
        <w:spacing w:beforeLines="100" w:before="312" w:beforeAutospacing="0" w:afterLines="50" w:after="156" w:afterAutospacing="0" w:line="360" w:lineRule="auto"/>
        <w:jc w:val="center"/>
        <w:rPr>
          <w:rFonts w:ascii="Times New Roman" w:hAnsi="Times New Roman" w:cs="Times New Roman"/>
          <w:sz w:val="28"/>
        </w:rPr>
      </w:pPr>
      <w:bookmarkStart w:id="132" w:name="_Toc105597628"/>
      <w:r>
        <w:rPr>
          <w:rFonts w:ascii="Times New Roman" w:hAnsi="Times New Roman" w:cs="Times New Roman" w:hint="eastAsia"/>
          <w:sz w:val="28"/>
        </w:rPr>
        <w:lastRenderedPageBreak/>
        <w:t>十八、争议解决方式</w:t>
      </w:r>
      <w:bookmarkEnd w:id="132"/>
    </w:p>
    <w:p w14:paraId="24BF408A" w14:textId="6687678A"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双方当事人同意，因本协议而产生的或与本协议有关的一切争议，应通过友好协商或者调解解决。托管协议当事人不愿通过协商、调解解决或者协商、调解不成的，任何一方均有权将争议提交</w:t>
      </w:r>
      <w:r>
        <w:rPr>
          <w:rFonts w:hint="eastAsia"/>
          <w:color w:val="000000" w:themeColor="text1"/>
          <w:sz w:val="24"/>
        </w:rPr>
        <w:t>上海国际经济贸易仲裁委员会</w:t>
      </w:r>
      <w:r>
        <w:rPr>
          <w:rFonts w:ascii="宋体" w:hAnsi="宋体" w:cs="Times New Roman" w:hint="eastAsia"/>
          <w:sz w:val="24"/>
          <w:szCs w:val="24"/>
          <w:highlight w:val="white"/>
        </w:rPr>
        <w:t>，根据该会届时有效的仲裁规则进行仲裁，仲裁地点为上海市，仲裁裁决是终局性的并对各方当事人具有约束力，除非仲裁裁决另有规定，仲裁费用由败诉方承担。</w:t>
      </w:r>
    </w:p>
    <w:p w14:paraId="581BC2A7"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争议处理期间，双方当事人应恪守基金管理人和基金托管人职责，继续忠实、勤勉、尽责地履行《基金合同》和本协议规定的义务，维护基金份额持有人的合法权益。</w:t>
      </w:r>
    </w:p>
    <w:p w14:paraId="3C075650"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本协议受中国法律（为本协议之目的，在此不包括香港特别行政区、澳门特别行政区和台湾地区的有关规定）管辖。</w:t>
      </w:r>
    </w:p>
    <w:p w14:paraId="57036D11" w14:textId="77777777" w:rsidR="00232224" w:rsidRDefault="00000000">
      <w:pPr>
        <w:pStyle w:val="112"/>
        <w:spacing w:beforeLines="100" w:before="312" w:beforeAutospacing="0" w:afterLines="50" w:after="156" w:afterAutospacing="0" w:line="360" w:lineRule="auto"/>
        <w:jc w:val="center"/>
        <w:rPr>
          <w:rFonts w:ascii="Times New Roman" w:hAnsi="Times New Roman" w:cs="Times New Roman"/>
          <w:sz w:val="28"/>
        </w:rPr>
      </w:pPr>
      <w:bookmarkStart w:id="133" w:name="_Toc523830011"/>
      <w:bookmarkStart w:id="134" w:name="_Toc125892455"/>
      <w:bookmarkStart w:id="135" w:name="_Toc22454481"/>
      <w:bookmarkStart w:id="136" w:name="_Toc508720697"/>
      <w:bookmarkStart w:id="137" w:name="_Toc466788869"/>
      <w:bookmarkStart w:id="138" w:name="_Toc105597629"/>
      <w:bookmarkEnd w:id="133"/>
      <w:bookmarkEnd w:id="134"/>
      <w:bookmarkEnd w:id="135"/>
      <w:bookmarkEnd w:id="136"/>
      <w:bookmarkEnd w:id="137"/>
      <w:r>
        <w:rPr>
          <w:rFonts w:ascii="Times New Roman" w:hAnsi="Times New Roman" w:cs="Times New Roman" w:hint="eastAsia"/>
          <w:sz w:val="28"/>
        </w:rPr>
        <w:t>十九、基金托管协议的效力</w:t>
      </w:r>
      <w:bookmarkEnd w:id="138"/>
    </w:p>
    <w:p w14:paraId="397C04C9"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一）基金管理人在向中国证监会申请发售基金份额时提交的基金托管协议草案，应经托管协议当事人双方盖章以及双方法定代表人或授权代表签章，协议当事人双方根据中国证监会的意见修改托管协议草案。托管协议以报中国证监会注册的文本为正式文本；</w:t>
      </w:r>
    </w:p>
    <w:p w14:paraId="65D06FA1"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（二）基金托管协议自《基金合同》成立之日起成立，自《基金合同》生效之日起生效。基金托管协议的有效期自其生效之日起至基金财产清算结果报中国证监会备案并公告之日止；</w:t>
      </w:r>
    </w:p>
    <w:p w14:paraId="085760D0"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（三）基金托管协议自生效之日起对托管协议当事人具有同等的法律约束力；</w:t>
      </w:r>
    </w:p>
    <w:p w14:paraId="1B29BF91"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（四）基金托管协议一式</w:t>
      </w:r>
      <w:r>
        <w:rPr>
          <w:rFonts w:ascii="宋体" w:hAnsi="宋体" w:cs="Times New Roman"/>
          <w:sz w:val="24"/>
          <w:szCs w:val="24"/>
          <w:highlight w:val="white"/>
        </w:rPr>
        <w:t>3</w:t>
      </w:r>
      <w:r>
        <w:rPr>
          <w:rFonts w:ascii="宋体" w:hAnsi="宋体" w:cs="Times New Roman" w:hint="eastAsia"/>
          <w:sz w:val="24"/>
          <w:szCs w:val="24"/>
          <w:highlight w:val="white"/>
        </w:rPr>
        <w:t>份，除上报中国证监会</w:t>
      </w:r>
      <w:r>
        <w:rPr>
          <w:rFonts w:ascii="宋体" w:hAnsi="宋体" w:cs="Times New Roman"/>
          <w:sz w:val="24"/>
          <w:szCs w:val="24"/>
          <w:highlight w:val="white"/>
        </w:rPr>
        <w:t>1</w:t>
      </w:r>
      <w:r>
        <w:rPr>
          <w:rFonts w:ascii="宋体" w:hAnsi="宋体" w:cs="Times New Roman" w:hint="eastAsia"/>
          <w:sz w:val="24"/>
          <w:szCs w:val="24"/>
          <w:highlight w:val="white"/>
        </w:rPr>
        <w:t>份外，基金管理人和基金托管人分别持有</w:t>
      </w:r>
      <w:r>
        <w:rPr>
          <w:rFonts w:ascii="宋体" w:hAnsi="宋体" w:cs="Times New Roman"/>
          <w:sz w:val="24"/>
          <w:szCs w:val="24"/>
          <w:highlight w:val="white"/>
        </w:rPr>
        <w:t>1</w:t>
      </w:r>
      <w:r>
        <w:rPr>
          <w:rFonts w:ascii="宋体" w:hAnsi="宋体" w:cs="Times New Roman" w:hint="eastAsia"/>
          <w:sz w:val="24"/>
          <w:szCs w:val="24"/>
          <w:highlight w:val="white"/>
        </w:rPr>
        <w:t>份，每份具有同等的法律效力。</w:t>
      </w:r>
      <w:bookmarkStart w:id="139" w:name="_Toc508720698"/>
      <w:bookmarkEnd w:id="139"/>
    </w:p>
    <w:p w14:paraId="2BA6D367" w14:textId="77777777" w:rsidR="00232224" w:rsidRDefault="00000000">
      <w:pPr>
        <w:pStyle w:val="112"/>
        <w:spacing w:beforeLines="100" w:before="312" w:beforeAutospacing="0" w:afterLines="50" w:after="156" w:afterAutospacing="0" w:line="360" w:lineRule="auto"/>
        <w:jc w:val="center"/>
        <w:rPr>
          <w:rFonts w:ascii="Times New Roman" w:hAnsi="Times New Roman" w:cs="Times New Roman"/>
          <w:sz w:val="28"/>
        </w:rPr>
      </w:pPr>
      <w:bookmarkStart w:id="140" w:name="_Toc105597630"/>
      <w:r>
        <w:rPr>
          <w:rFonts w:ascii="Times New Roman" w:hAnsi="Times New Roman" w:cs="Times New Roman" w:hint="eastAsia"/>
          <w:sz w:val="28"/>
        </w:rPr>
        <w:t>二十、其他事项</w:t>
      </w:r>
      <w:bookmarkEnd w:id="140"/>
    </w:p>
    <w:p w14:paraId="3A08D2F6" w14:textId="77777777" w:rsidR="00232224" w:rsidRDefault="00000000">
      <w:pPr>
        <w:spacing w:line="360" w:lineRule="auto"/>
        <w:ind w:firstLineChars="200" w:firstLine="480"/>
        <w:rPr>
          <w:rFonts w:ascii="宋体" w:hAnsi="宋体" w:cs="Times New Roman"/>
          <w:sz w:val="24"/>
          <w:szCs w:val="24"/>
          <w:highlight w:val="white"/>
        </w:rPr>
      </w:pPr>
      <w:r>
        <w:rPr>
          <w:rFonts w:ascii="宋体" w:hAnsi="宋体" w:cs="Times New Roman" w:hint="eastAsia"/>
          <w:sz w:val="24"/>
          <w:szCs w:val="24"/>
          <w:highlight w:val="white"/>
        </w:rPr>
        <w:t>本协议未尽事宜，当事人依据基金合同、有关法律、法规等规定协商办理。</w:t>
      </w:r>
      <w:bookmarkStart w:id="141" w:name="_Toc22454484"/>
      <w:bookmarkStart w:id="142" w:name="_Toc508720699"/>
      <w:bookmarkStart w:id="143" w:name="_Toc523830014"/>
      <w:bookmarkEnd w:id="141"/>
      <w:bookmarkEnd w:id="142"/>
      <w:bookmarkEnd w:id="143"/>
    </w:p>
    <w:p w14:paraId="7F91F836" w14:textId="77777777" w:rsidR="00232224" w:rsidRDefault="00000000">
      <w:pPr>
        <w:pStyle w:val="112"/>
        <w:spacing w:beforeLines="100" w:before="312" w:beforeAutospacing="0" w:afterLines="50" w:after="156" w:afterAutospacing="0" w:line="360" w:lineRule="auto"/>
        <w:jc w:val="center"/>
        <w:rPr>
          <w:rFonts w:ascii="Times New Roman" w:hAnsi="Times New Roman" w:cs="Times New Roman"/>
          <w:sz w:val="28"/>
        </w:rPr>
      </w:pPr>
      <w:bookmarkStart w:id="144" w:name="_Toc105597631"/>
      <w:r>
        <w:rPr>
          <w:rFonts w:ascii="Times New Roman" w:hAnsi="Times New Roman" w:cs="Times New Roman" w:hint="eastAsia"/>
          <w:sz w:val="28"/>
        </w:rPr>
        <w:lastRenderedPageBreak/>
        <w:t>二十一、基金托管协议的签订</w:t>
      </w:r>
      <w:bookmarkEnd w:id="144"/>
    </w:p>
    <w:p w14:paraId="1DEC2F73" w14:textId="4167CA44" w:rsidR="00232224" w:rsidRDefault="00000000">
      <w:pPr>
        <w:spacing w:line="360" w:lineRule="auto"/>
        <w:ind w:firstLineChars="200" w:firstLine="480"/>
        <w:rPr>
          <w:rFonts w:ascii="宋体" w:hAnsi="宋体" w:cs="Times New Roman"/>
          <w:sz w:val="24"/>
          <w:szCs w:val="24"/>
          <w:highlight w:val="white"/>
        </w:rPr>
        <w:sectPr w:rsidR="00232224">
          <w:pgSz w:w="11906" w:h="16838"/>
          <w:pgMar w:top="1440" w:right="1800" w:bottom="1440" w:left="1800" w:header="851" w:footer="992" w:gutter="0"/>
          <w:cols w:space="425"/>
          <w:docGrid w:type="lines" w:linePitch="312"/>
        </w:sectPr>
      </w:pPr>
      <w:r>
        <w:rPr>
          <w:rFonts w:ascii="宋体" w:hAnsi="宋体" w:cs="Times New Roman" w:hint="eastAsia"/>
          <w:sz w:val="24"/>
          <w:szCs w:val="24"/>
          <w:highlight w:val="white"/>
        </w:rPr>
        <w:t>本托管协议双方法定代表人或授权代表签章、</w:t>
      </w:r>
      <w:r>
        <w:rPr>
          <w:rFonts w:ascii="宋体" w:hAnsi="宋体" w:cs="Times New Roman" w:hint="eastAsia"/>
          <w:sz w:val="24"/>
          <w:szCs w:val="24"/>
        </w:rPr>
        <w:t>单位公章或合同专用章、</w:t>
      </w:r>
      <w:r>
        <w:rPr>
          <w:rFonts w:ascii="宋体" w:hAnsi="宋体" w:cs="Times New Roman" w:hint="eastAsia"/>
          <w:sz w:val="24"/>
          <w:szCs w:val="24"/>
          <w:highlight w:val="white"/>
        </w:rPr>
        <w:t>签订地、签订日，</w:t>
      </w:r>
      <w:proofErr w:type="gramStart"/>
      <w:r>
        <w:rPr>
          <w:rFonts w:ascii="宋体" w:hAnsi="宋体" w:cs="Times New Roman" w:hint="eastAsia"/>
          <w:sz w:val="24"/>
          <w:szCs w:val="24"/>
          <w:highlight w:val="white"/>
        </w:rPr>
        <w:t>见签署页</w:t>
      </w:r>
      <w:proofErr w:type="gramEnd"/>
      <w:r>
        <w:rPr>
          <w:rFonts w:ascii="宋体" w:hAnsi="宋体" w:cs="Times New Roman" w:hint="eastAsia"/>
          <w:sz w:val="24"/>
          <w:szCs w:val="24"/>
          <w:highlight w:val="white"/>
        </w:rPr>
        <w:t>。</w:t>
      </w:r>
    </w:p>
    <w:p w14:paraId="08E4FDC3" w14:textId="1ED3B9B1" w:rsidR="00232224" w:rsidRDefault="00000000">
      <w:pPr>
        <w:spacing w:line="360" w:lineRule="auto"/>
        <w:jc w:val="left"/>
        <w:rPr>
          <w:rFonts w:ascii="宋体" w:hAnsi="宋体" w:cs="Times New Roman"/>
          <w:sz w:val="24"/>
          <w:szCs w:val="21"/>
        </w:rPr>
      </w:pPr>
      <w:r>
        <w:rPr>
          <w:rFonts w:ascii="宋体" w:hAnsi="宋体" w:cs="Times New Roman" w:hint="eastAsia"/>
          <w:sz w:val="24"/>
          <w:szCs w:val="21"/>
        </w:rPr>
        <w:lastRenderedPageBreak/>
        <w:t>本页无正文，为《海富通产业优选混合型证券投资基金托管协议》的签字盖章页。</w:t>
      </w:r>
    </w:p>
    <w:p w14:paraId="53E7D10B" w14:textId="77777777" w:rsidR="00232224" w:rsidRDefault="00232224">
      <w:pPr>
        <w:spacing w:line="360" w:lineRule="auto"/>
        <w:ind w:right="26"/>
        <w:jc w:val="left"/>
        <w:rPr>
          <w:rFonts w:ascii="宋体" w:hAnsi="宋体" w:cs="Times New Roman"/>
          <w:sz w:val="24"/>
        </w:rPr>
      </w:pPr>
    </w:p>
    <w:p w14:paraId="7F4B7D77" w14:textId="77777777" w:rsidR="00232224" w:rsidRDefault="00000000">
      <w:pPr>
        <w:spacing w:line="360" w:lineRule="auto"/>
        <w:jc w:val="left"/>
        <w:rPr>
          <w:rFonts w:ascii="宋体" w:hAnsi="宋体" w:cs="Times New Roman"/>
          <w:sz w:val="24"/>
          <w:szCs w:val="21"/>
        </w:rPr>
      </w:pPr>
      <w:r>
        <w:rPr>
          <w:rFonts w:ascii="宋体" w:hAnsi="宋体" w:cs="Times New Roman" w:hint="eastAsia"/>
          <w:sz w:val="24"/>
          <w:szCs w:val="21"/>
        </w:rPr>
        <w:t>《托管协议》当事人盖章及法定代表人或授权代表签字、签订地、签订日</w:t>
      </w:r>
    </w:p>
    <w:p w14:paraId="0E1942B5" w14:textId="77777777" w:rsidR="00232224" w:rsidRDefault="00232224">
      <w:pPr>
        <w:spacing w:line="360" w:lineRule="auto"/>
        <w:jc w:val="left"/>
        <w:rPr>
          <w:rFonts w:ascii="宋体" w:hAnsi="宋体" w:cs="Times New Roman"/>
          <w:sz w:val="24"/>
          <w:szCs w:val="21"/>
        </w:rPr>
      </w:pPr>
    </w:p>
    <w:p w14:paraId="7A20D29F" w14:textId="77777777" w:rsidR="00232224" w:rsidRDefault="00232224">
      <w:pPr>
        <w:spacing w:line="360" w:lineRule="auto"/>
        <w:jc w:val="left"/>
        <w:rPr>
          <w:rFonts w:ascii="宋体" w:hAnsi="宋体" w:cs="Times New Roman"/>
          <w:sz w:val="24"/>
          <w:szCs w:val="21"/>
        </w:rPr>
      </w:pPr>
    </w:p>
    <w:p w14:paraId="583D18CB" w14:textId="77777777" w:rsidR="00232224" w:rsidRDefault="00232224">
      <w:pPr>
        <w:spacing w:line="360" w:lineRule="auto"/>
        <w:jc w:val="left"/>
        <w:rPr>
          <w:rFonts w:ascii="宋体" w:hAnsi="宋体" w:cs="Times New Roman"/>
          <w:sz w:val="24"/>
          <w:szCs w:val="21"/>
        </w:rPr>
      </w:pPr>
    </w:p>
    <w:p w14:paraId="3AED077A" w14:textId="77777777" w:rsidR="00232224" w:rsidRDefault="00000000">
      <w:pPr>
        <w:spacing w:line="360" w:lineRule="auto"/>
        <w:jc w:val="left"/>
        <w:rPr>
          <w:rFonts w:ascii="宋体" w:hAnsi="宋体" w:cs="Times New Roman"/>
          <w:sz w:val="24"/>
          <w:szCs w:val="21"/>
        </w:rPr>
      </w:pPr>
      <w:r>
        <w:rPr>
          <w:rFonts w:ascii="宋体" w:hAnsi="宋体" w:cs="Times New Roman" w:hint="eastAsia"/>
          <w:sz w:val="24"/>
          <w:szCs w:val="21"/>
        </w:rPr>
        <w:t>基金管理人：海富通基金管理有限公司（章）</w:t>
      </w:r>
    </w:p>
    <w:p w14:paraId="3244A418" w14:textId="77777777" w:rsidR="00232224" w:rsidRDefault="00232224">
      <w:pPr>
        <w:spacing w:line="360" w:lineRule="auto"/>
        <w:jc w:val="left"/>
        <w:rPr>
          <w:rFonts w:ascii="宋体" w:hAnsi="宋体" w:cs="Times New Roman"/>
          <w:sz w:val="24"/>
          <w:szCs w:val="21"/>
        </w:rPr>
      </w:pPr>
    </w:p>
    <w:p w14:paraId="0E57FF38" w14:textId="77777777" w:rsidR="00232224" w:rsidRDefault="00232224">
      <w:pPr>
        <w:spacing w:line="360" w:lineRule="auto"/>
        <w:jc w:val="left"/>
        <w:rPr>
          <w:rFonts w:ascii="宋体" w:hAnsi="宋体" w:cs="Times New Roman"/>
          <w:sz w:val="24"/>
          <w:szCs w:val="21"/>
        </w:rPr>
      </w:pPr>
    </w:p>
    <w:p w14:paraId="60E6BA4B" w14:textId="77777777" w:rsidR="00232224" w:rsidRDefault="00232224">
      <w:pPr>
        <w:spacing w:line="360" w:lineRule="auto"/>
        <w:jc w:val="left"/>
        <w:rPr>
          <w:rFonts w:ascii="宋体" w:hAnsi="宋体" w:cs="Times New Roman"/>
          <w:sz w:val="24"/>
          <w:szCs w:val="21"/>
        </w:rPr>
      </w:pPr>
    </w:p>
    <w:p w14:paraId="0E85BCDF" w14:textId="77777777" w:rsidR="00232224" w:rsidRDefault="00000000">
      <w:pPr>
        <w:spacing w:line="360" w:lineRule="auto"/>
        <w:jc w:val="left"/>
        <w:rPr>
          <w:rFonts w:ascii="宋体" w:hAnsi="宋体" w:cs="Times New Roman"/>
          <w:sz w:val="24"/>
          <w:szCs w:val="21"/>
        </w:rPr>
      </w:pPr>
      <w:r>
        <w:rPr>
          <w:rFonts w:ascii="宋体" w:hAnsi="宋体" w:cs="Times New Roman" w:hint="eastAsia"/>
          <w:sz w:val="24"/>
          <w:szCs w:val="21"/>
        </w:rPr>
        <w:t>法定代表人或授权代表（签字</w:t>
      </w:r>
      <w:r>
        <w:rPr>
          <w:rFonts w:ascii="宋体" w:hAnsi="宋体" w:cs="Times New Roman"/>
          <w:sz w:val="24"/>
          <w:szCs w:val="21"/>
        </w:rPr>
        <w:t>/</w:t>
      </w:r>
      <w:r>
        <w:rPr>
          <w:rFonts w:ascii="宋体" w:hAnsi="宋体" w:cs="Times New Roman" w:hint="eastAsia"/>
          <w:sz w:val="24"/>
          <w:szCs w:val="21"/>
        </w:rPr>
        <w:t>签章）：</w:t>
      </w:r>
    </w:p>
    <w:p w14:paraId="3BAB6086" w14:textId="77777777" w:rsidR="00232224" w:rsidRDefault="00232224">
      <w:pPr>
        <w:spacing w:line="360" w:lineRule="auto"/>
        <w:jc w:val="left"/>
        <w:rPr>
          <w:rFonts w:ascii="宋体" w:hAnsi="宋体" w:cs="Times New Roman"/>
          <w:sz w:val="24"/>
          <w:szCs w:val="21"/>
        </w:rPr>
      </w:pPr>
    </w:p>
    <w:p w14:paraId="38A2C048" w14:textId="77777777" w:rsidR="00232224" w:rsidRDefault="00232224">
      <w:pPr>
        <w:spacing w:line="360" w:lineRule="auto"/>
        <w:jc w:val="left"/>
        <w:rPr>
          <w:rFonts w:ascii="宋体" w:hAnsi="宋体" w:cs="Times New Roman"/>
          <w:sz w:val="24"/>
          <w:szCs w:val="21"/>
        </w:rPr>
      </w:pPr>
    </w:p>
    <w:p w14:paraId="56B76E8F" w14:textId="77777777" w:rsidR="00232224" w:rsidRDefault="00232224">
      <w:pPr>
        <w:spacing w:line="360" w:lineRule="auto"/>
        <w:jc w:val="left"/>
        <w:rPr>
          <w:rFonts w:ascii="宋体" w:hAnsi="宋体" w:cs="Times New Roman"/>
          <w:sz w:val="24"/>
          <w:szCs w:val="21"/>
        </w:rPr>
      </w:pPr>
    </w:p>
    <w:p w14:paraId="56194D13" w14:textId="77777777" w:rsidR="00232224" w:rsidRDefault="00000000">
      <w:pPr>
        <w:spacing w:line="360" w:lineRule="auto"/>
        <w:jc w:val="left"/>
        <w:rPr>
          <w:rFonts w:ascii="宋体" w:hAnsi="宋体" w:cs="Times New Roman"/>
          <w:sz w:val="24"/>
          <w:szCs w:val="21"/>
        </w:rPr>
      </w:pPr>
      <w:r>
        <w:rPr>
          <w:rFonts w:ascii="宋体" w:hAnsi="宋体" w:cs="Times New Roman" w:hint="eastAsia"/>
          <w:sz w:val="24"/>
          <w:szCs w:val="21"/>
        </w:rPr>
        <w:t>基金托管人：国金证券股份有限公司（章）</w:t>
      </w:r>
    </w:p>
    <w:p w14:paraId="23AEA5AD" w14:textId="77777777" w:rsidR="00232224" w:rsidRDefault="00232224">
      <w:pPr>
        <w:spacing w:line="360" w:lineRule="auto"/>
        <w:jc w:val="left"/>
        <w:rPr>
          <w:rFonts w:ascii="宋体" w:hAnsi="宋体" w:cs="Times New Roman"/>
          <w:sz w:val="24"/>
          <w:szCs w:val="21"/>
        </w:rPr>
      </w:pPr>
    </w:p>
    <w:p w14:paraId="7E16942B" w14:textId="77777777" w:rsidR="00232224" w:rsidRDefault="00232224">
      <w:pPr>
        <w:spacing w:line="360" w:lineRule="auto"/>
        <w:jc w:val="left"/>
        <w:rPr>
          <w:rFonts w:ascii="宋体" w:hAnsi="宋体" w:cs="Times New Roman"/>
          <w:sz w:val="24"/>
          <w:szCs w:val="21"/>
        </w:rPr>
      </w:pPr>
    </w:p>
    <w:p w14:paraId="433F29E9" w14:textId="77777777" w:rsidR="00232224" w:rsidRDefault="00232224">
      <w:pPr>
        <w:spacing w:line="360" w:lineRule="auto"/>
        <w:jc w:val="left"/>
        <w:rPr>
          <w:rFonts w:ascii="宋体" w:hAnsi="宋体" w:cs="Times New Roman"/>
          <w:sz w:val="24"/>
          <w:szCs w:val="21"/>
        </w:rPr>
      </w:pPr>
    </w:p>
    <w:p w14:paraId="6937A5E3" w14:textId="77777777" w:rsidR="00232224" w:rsidRDefault="00000000">
      <w:pPr>
        <w:spacing w:line="360" w:lineRule="auto"/>
        <w:jc w:val="left"/>
        <w:rPr>
          <w:rFonts w:ascii="宋体" w:hAnsi="宋体" w:cs="Times New Roman"/>
          <w:sz w:val="24"/>
          <w:szCs w:val="21"/>
        </w:rPr>
      </w:pPr>
      <w:r>
        <w:rPr>
          <w:rFonts w:ascii="宋体" w:hAnsi="宋体" w:cs="Times New Roman" w:hint="eastAsia"/>
          <w:sz w:val="24"/>
          <w:szCs w:val="21"/>
        </w:rPr>
        <w:t>法定代表人或授权代表（签字</w:t>
      </w:r>
      <w:r>
        <w:rPr>
          <w:rFonts w:ascii="宋体" w:hAnsi="宋体" w:cs="Times New Roman"/>
          <w:sz w:val="24"/>
          <w:szCs w:val="21"/>
        </w:rPr>
        <w:t>/</w:t>
      </w:r>
      <w:r>
        <w:rPr>
          <w:rFonts w:ascii="宋体" w:hAnsi="宋体" w:cs="Times New Roman" w:hint="eastAsia"/>
          <w:sz w:val="24"/>
          <w:szCs w:val="21"/>
        </w:rPr>
        <w:t>签章）：</w:t>
      </w:r>
    </w:p>
    <w:p w14:paraId="16E3D1EE" w14:textId="77777777" w:rsidR="00232224" w:rsidRDefault="00232224">
      <w:pPr>
        <w:spacing w:line="360" w:lineRule="auto"/>
        <w:jc w:val="left"/>
        <w:rPr>
          <w:rFonts w:ascii="宋体" w:hAnsi="宋体" w:cs="Times New Roman"/>
          <w:sz w:val="24"/>
          <w:szCs w:val="21"/>
        </w:rPr>
      </w:pPr>
    </w:p>
    <w:p w14:paraId="3CF9507B" w14:textId="77777777" w:rsidR="00232224" w:rsidRDefault="00232224">
      <w:pPr>
        <w:spacing w:line="360" w:lineRule="auto"/>
        <w:jc w:val="left"/>
        <w:rPr>
          <w:rFonts w:ascii="宋体" w:hAnsi="宋体" w:cs="Times New Roman"/>
          <w:sz w:val="24"/>
          <w:szCs w:val="21"/>
        </w:rPr>
      </w:pPr>
    </w:p>
    <w:p w14:paraId="4391614A" w14:textId="77777777" w:rsidR="00232224" w:rsidRDefault="00232224">
      <w:pPr>
        <w:spacing w:line="360" w:lineRule="auto"/>
        <w:jc w:val="left"/>
        <w:rPr>
          <w:rFonts w:ascii="宋体" w:hAnsi="宋体" w:cs="Times New Roman"/>
          <w:sz w:val="24"/>
          <w:szCs w:val="21"/>
        </w:rPr>
      </w:pPr>
    </w:p>
    <w:p w14:paraId="3B4E2F39" w14:textId="77777777" w:rsidR="00232224" w:rsidRDefault="00000000">
      <w:pPr>
        <w:spacing w:line="360" w:lineRule="auto"/>
        <w:jc w:val="left"/>
        <w:rPr>
          <w:rFonts w:ascii="宋体" w:hAnsi="宋体" w:cs="Times New Roman"/>
          <w:sz w:val="24"/>
          <w:szCs w:val="21"/>
        </w:rPr>
      </w:pPr>
      <w:r>
        <w:rPr>
          <w:rFonts w:ascii="宋体" w:hAnsi="宋体" w:cs="Times New Roman" w:hint="eastAsia"/>
          <w:sz w:val="24"/>
          <w:szCs w:val="21"/>
        </w:rPr>
        <w:t>签订地点：</w:t>
      </w:r>
    </w:p>
    <w:p w14:paraId="4176614B" w14:textId="77777777" w:rsidR="00232224" w:rsidRDefault="00000000">
      <w:pPr>
        <w:spacing w:line="360" w:lineRule="auto"/>
        <w:jc w:val="left"/>
        <w:rPr>
          <w:rFonts w:ascii="宋体" w:hAnsi="宋体" w:cs="Times New Roman"/>
          <w:sz w:val="24"/>
          <w:szCs w:val="21"/>
        </w:rPr>
      </w:pPr>
      <w:r>
        <w:rPr>
          <w:rFonts w:ascii="宋体" w:hAnsi="宋体" w:cs="Times New Roman" w:hint="eastAsia"/>
          <w:sz w:val="24"/>
          <w:szCs w:val="21"/>
        </w:rPr>
        <w:t>签订日：</w:t>
      </w:r>
      <w:r>
        <w:rPr>
          <w:rFonts w:ascii="宋体" w:hAnsi="宋体" w:cs="Times New Roman"/>
          <w:sz w:val="24"/>
          <w:szCs w:val="21"/>
        </w:rPr>
        <w:t xml:space="preserve">    </w:t>
      </w:r>
      <w:r>
        <w:rPr>
          <w:rFonts w:ascii="宋体" w:hAnsi="宋体" w:cs="Times New Roman" w:hint="eastAsia"/>
          <w:sz w:val="24"/>
          <w:szCs w:val="21"/>
        </w:rPr>
        <w:t>年</w:t>
      </w:r>
      <w:r>
        <w:rPr>
          <w:rFonts w:ascii="宋体" w:hAnsi="宋体" w:cs="Times New Roman"/>
          <w:sz w:val="24"/>
          <w:szCs w:val="21"/>
        </w:rPr>
        <w:t xml:space="preserve">   </w:t>
      </w:r>
      <w:r>
        <w:rPr>
          <w:rFonts w:ascii="宋体" w:hAnsi="宋体" w:cs="Times New Roman" w:hint="eastAsia"/>
          <w:sz w:val="24"/>
          <w:szCs w:val="21"/>
        </w:rPr>
        <w:t>月</w:t>
      </w:r>
      <w:r>
        <w:rPr>
          <w:rFonts w:ascii="宋体" w:hAnsi="宋体" w:cs="Times New Roman"/>
          <w:sz w:val="24"/>
          <w:szCs w:val="21"/>
        </w:rPr>
        <w:t xml:space="preserve">   </w:t>
      </w:r>
      <w:r>
        <w:rPr>
          <w:rFonts w:ascii="宋体" w:hAnsi="宋体" w:cs="Times New Roman" w:hint="eastAsia"/>
          <w:sz w:val="24"/>
          <w:szCs w:val="21"/>
        </w:rPr>
        <w:t>日</w:t>
      </w:r>
    </w:p>
    <w:p w14:paraId="757F4DF0" w14:textId="77777777" w:rsidR="00232224" w:rsidRDefault="00232224">
      <w:pPr>
        <w:spacing w:line="360" w:lineRule="auto"/>
        <w:jc w:val="left"/>
        <w:rPr>
          <w:rFonts w:ascii="宋体" w:hAnsi="宋体" w:cs="Times New Roman"/>
          <w:sz w:val="24"/>
          <w:szCs w:val="21"/>
        </w:rPr>
      </w:pPr>
    </w:p>
    <w:sectPr w:rsidR="0023222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C5AD6" w14:textId="77777777" w:rsidR="0006220F" w:rsidRDefault="0006220F">
      <w:r>
        <w:separator/>
      </w:r>
    </w:p>
  </w:endnote>
  <w:endnote w:type="continuationSeparator" w:id="0">
    <w:p w14:paraId="596B8191" w14:textId="77777777" w:rsidR="0006220F" w:rsidRDefault="00062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235862"/>
    </w:sdtPr>
    <w:sdtContent>
      <w:p w14:paraId="08BD81FD" w14:textId="77777777" w:rsidR="00232224" w:rsidRDefault="00000000">
        <w:pPr>
          <w:pStyle w:val="1"/>
          <w:snapToGrid/>
          <w:jc w:val="center"/>
        </w:pPr>
        <w:r>
          <w:fldChar w:fldCharType="begin"/>
        </w:r>
        <w:r>
          <w:instrText>PAGE   \* MERGEFORMAT</w:instrText>
        </w:r>
        <w:r>
          <w:fldChar w:fldCharType="separate"/>
        </w:r>
        <w:r>
          <w:rPr>
            <w:lang w:val="zh-CN"/>
          </w:rPr>
          <w:t>47</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610620"/>
    </w:sdtPr>
    <w:sdtContent>
      <w:p w14:paraId="6FBDE51C" w14:textId="77777777" w:rsidR="00232224" w:rsidRDefault="00000000">
        <w:pPr>
          <w:pStyle w:val="1"/>
          <w:snapToGrid/>
          <w:jc w:val="center"/>
        </w:pPr>
        <w:r>
          <w:t xml:space="preserve">     </w:t>
        </w:r>
      </w:p>
    </w:sdtContent>
  </w:sdt>
  <w:p w14:paraId="630B5F67" w14:textId="77777777" w:rsidR="00232224" w:rsidRDefault="00232224">
    <w:pPr>
      <w:pStyle w:val="1"/>
      <w:snapToGr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06595" w14:textId="77777777" w:rsidR="0006220F" w:rsidRDefault="0006220F">
      <w:r>
        <w:separator/>
      </w:r>
    </w:p>
  </w:footnote>
  <w:footnote w:type="continuationSeparator" w:id="0">
    <w:p w14:paraId="59C02045" w14:textId="77777777" w:rsidR="0006220F" w:rsidRDefault="00062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47C54"/>
    <w:multiLevelType w:val="multilevel"/>
    <w:tmpl w:val="42D47C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275750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k4Yjk3NTdiYTJiY2RlNWNhYWQxYjA0OGExOTU2ODAifQ=="/>
    <w:docVar w:name="KGWebUrl" w:val="http://idp.efunds.com.cn/api/v1/backend/docSyncController/downloadAnnFile.json?force=true&amp;fileName=%E6%98%93%E6%96%B9%E8%BE%BEMSCI%E4%B8%AD%E5%9B%BDA50%E4%BA%92%E8%81%94%E4%BA%92%E9%80%9A%E6%8C%87%E6%95%B0%E9%87%8F%E5%8C%96%E5%A2%9E%E5%BC%BA%E5%9E%8B%E8%AF%81%E5%88%B8%E6%8A%95%E8%B5%84%E5%9F%BA%E9%87%91%E6%89%98%E7%AE%A1%E5%8D%8F%E8%AE%AE.docx&amp;fileId=ANN_DOC_25379&amp;t=1661420304971"/>
  </w:docVars>
  <w:rsids>
    <w:rsidRoot w:val="00612DFA"/>
    <w:rsid w:val="000130AA"/>
    <w:rsid w:val="00043ED6"/>
    <w:rsid w:val="0006220F"/>
    <w:rsid w:val="000843B2"/>
    <w:rsid w:val="000D1040"/>
    <w:rsid w:val="000E0ED4"/>
    <w:rsid w:val="000E7595"/>
    <w:rsid w:val="00142785"/>
    <w:rsid w:val="00164BB4"/>
    <w:rsid w:val="00186001"/>
    <w:rsid w:val="00186F59"/>
    <w:rsid w:val="001972F8"/>
    <w:rsid w:val="001E04D5"/>
    <w:rsid w:val="0023046C"/>
    <w:rsid w:val="002315A6"/>
    <w:rsid w:val="00232224"/>
    <w:rsid w:val="0023549F"/>
    <w:rsid w:val="002407AB"/>
    <w:rsid w:val="00262AAA"/>
    <w:rsid w:val="00290A94"/>
    <w:rsid w:val="002B37E2"/>
    <w:rsid w:val="002D1825"/>
    <w:rsid w:val="002F12AD"/>
    <w:rsid w:val="00301025"/>
    <w:rsid w:val="003172BA"/>
    <w:rsid w:val="00317F78"/>
    <w:rsid w:val="00322E45"/>
    <w:rsid w:val="00386028"/>
    <w:rsid w:val="003919A2"/>
    <w:rsid w:val="0039356A"/>
    <w:rsid w:val="00422722"/>
    <w:rsid w:val="004737B1"/>
    <w:rsid w:val="00481551"/>
    <w:rsid w:val="00494E21"/>
    <w:rsid w:val="004C1BC1"/>
    <w:rsid w:val="004D1510"/>
    <w:rsid w:val="004F7977"/>
    <w:rsid w:val="00514F1F"/>
    <w:rsid w:val="005647D7"/>
    <w:rsid w:val="0057444E"/>
    <w:rsid w:val="005969E1"/>
    <w:rsid w:val="005D4441"/>
    <w:rsid w:val="005D4BD3"/>
    <w:rsid w:val="005F6E33"/>
    <w:rsid w:val="0060680E"/>
    <w:rsid w:val="00612DFA"/>
    <w:rsid w:val="006149E7"/>
    <w:rsid w:val="00621623"/>
    <w:rsid w:val="0064018C"/>
    <w:rsid w:val="00646DD7"/>
    <w:rsid w:val="00657403"/>
    <w:rsid w:val="006609A2"/>
    <w:rsid w:val="00676E7A"/>
    <w:rsid w:val="006A6759"/>
    <w:rsid w:val="006B4B9B"/>
    <w:rsid w:val="00700BF9"/>
    <w:rsid w:val="00720ACF"/>
    <w:rsid w:val="00737FFC"/>
    <w:rsid w:val="0079157F"/>
    <w:rsid w:val="007B1B71"/>
    <w:rsid w:val="007C1D6B"/>
    <w:rsid w:val="007C3CD8"/>
    <w:rsid w:val="007D569E"/>
    <w:rsid w:val="00841833"/>
    <w:rsid w:val="00855ACE"/>
    <w:rsid w:val="0087326E"/>
    <w:rsid w:val="008803DA"/>
    <w:rsid w:val="008A0476"/>
    <w:rsid w:val="008C073A"/>
    <w:rsid w:val="008D493A"/>
    <w:rsid w:val="008E6206"/>
    <w:rsid w:val="009004D4"/>
    <w:rsid w:val="009425F0"/>
    <w:rsid w:val="009A1F2E"/>
    <w:rsid w:val="009A2181"/>
    <w:rsid w:val="009B54F2"/>
    <w:rsid w:val="00A244E6"/>
    <w:rsid w:val="00A36160"/>
    <w:rsid w:val="00A45C1E"/>
    <w:rsid w:val="00A82028"/>
    <w:rsid w:val="00AA71BD"/>
    <w:rsid w:val="00B23173"/>
    <w:rsid w:val="00B24D69"/>
    <w:rsid w:val="00B840FB"/>
    <w:rsid w:val="00B900F8"/>
    <w:rsid w:val="00B9231C"/>
    <w:rsid w:val="00BF67EB"/>
    <w:rsid w:val="00C17371"/>
    <w:rsid w:val="00C27020"/>
    <w:rsid w:val="00C27E4C"/>
    <w:rsid w:val="00C32FCE"/>
    <w:rsid w:val="00C613E3"/>
    <w:rsid w:val="00CB409F"/>
    <w:rsid w:val="00CD563D"/>
    <w:rsid w:val="00D07D24"/>
    <w:rsid w:val="00D3114B"/>
    <w:rsid w:val="00D33D99"/>
    <w:rsid w:val="00D558DB"/>
    <w:rsid w:val="00D61927"/>
    <w:rsid w:val="00D82EE4"/>
    <w:rsid w:val="00D90125"/>
    <w:rsid w:val="00D9108D"/>
    <w:rsid w:val="00DB63B5"/>
    <w:rsid w:val="00E01AAE"/>
    <w:rsid w:val="00E355D8"/>
    <w:rsid w:val="00E41954"/>
    <w:rsid w:val="00E4518F"/>
    <w:rsid w:val="00E52770"/>
    <w:rsid w:val="00E61876"/>
    <w:rsid w:val="00E70F22"/>
    <w:rsid w:val="00E854E7"/>
    <w:rsid w:val="00E922C9"/>
    <w:rsid w:val="00EC6B56"/>
    <w:rsid w:val="00EF32E4"/>
    <w:rsid w:val="00F17C7E"/>
    <w:rsid w:val="00F273A9"/>
    <w:rsid w:val="00F51A10"/>
    <w:rsid w:val="00F54DB6"/>
    <w:rsid w:val="00FC47A6"/>
    <w:rsid w:val="00FE2C58"/>
    <w:rsid w:val="00FE706E"/>
    <w:rsid w:val="1D082987"/>
    <w:rsid w:val="22C07A6B"/>
    <w:rsid w:val="3353526D"/>
    <w:rsid w:val="51806214"/>
    <w:rsid w:val="5DAB6FC0"/>
    <w:rsid w:val="6B773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3A209"/>
  <w15:docId w15:val="{3D40A616-F43D-44D5-89AB-20E2CEC5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Calibr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spacing w:after="57"/>
      <w:ind w:left="1701"/>
    </w:pPr>
  </w:style>
  <w:style w:type="paragraph" w:styleId="a3">
    <w:name w:val="annotation text"/>
    <w:basedOn w:val="a"/>
    <w:link w:val="a4"/>
    <w:unhideWhenUsed/>
    <w:qFormat/>
    <w:pPr>
      <w:jc w:val="left"/>
    </w:pPr>
  </w:style>
  <w:style w:type="paragraph" w:styleId="TOC5">
    <w:name w:val="toc 5"/>
    <w:basedOn w:val="a"/>
    <w:next w:val="a"/>
    <w:uiPriority w:val="39"/>
    <w:unhideWhenUsed/>
    <w:qFormat/>
    <w:pPr>
      <w:spacing w:after="57"/>
      <w:ind w:left="1134"/>
    </w:pPr>
  </w:style>
  <w:style w:type="paragraph" w:styleId="TOC3">
    <w:name w:val="toc 3"/>
    <w:basedOn w:val="a"/>
    <w:next w:val="a"/>
    <w:uiPriority w:val="39"/>
    <w:unhideWhenUsed/>
    <w:qFormat/>
    <w:pPr>
      <w:spacing w:after="57"/>
      <w:ind w:left="567"/>
    </w:pPr>
  </w:style>
  <w:style w:type="paragraph" w:styleId="TOC8">
    <w:name w:val="toc 8"/>
    <w:basedOn w:val="a"/>
    <w:next w:val="a"/>
    <w:uiPriority w:val="39"/>
    <w:unhideWhenUsed/>
    <w:qFormat/>
    <w:pPr>
      <w:spacing w:after="57"/>
      <w:ind w:left="1984"/>
    </w:pPr>
  </w:style>
  <w:style w:type="paragraph" w:styleId="a5">
    <w:name w:val="Date"/>
    <w:basedOn w:val="a"/>
    <w:next w:val="a"/>
    <w:link w:val="a6"/>
    <w:uiPriority w:val="99"/>
    <w:semiHidden/>
    <w:unhideWhenUsed/>
    <w:qFormat/>
    <w:pPr>
      <w:ind w:left="100"/>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4">
    <w:name w:val="toc 4"/>
    <w:basedOn w:val="a"/>
    <w:next w:val="a"/>
    <w:uiPriority w:val="39"/>
    <w:unhideWhenUsed/>
    <w:qFormat/>
    <w:pPr>
      <w:spacing w:after="57"/>
      <w:ind w:left="850"/>
    </w:pPr>
  </w:style>
  <w:style w:type="paragraph" w:styleId="ad">
    <w:name w:val="Subtitle"/>
    <w:basedOn w:val="a"/>
    <w:next w:val="a"/>
    <w:link w:val="ae"/>
    <w:uiPriority w:val="11"/>
    <w:qFormat/>
    <w:pPr>
      <w:spacing w:before="200" w:after="200"/>
    </w:pPr>
    <w:rPr>
      <w:sz w:val="24"/>
      <w:szCs w:val="24"/>
    </w:rPr>
  </w:style>
  <w:style w:type="paragraph" w:styleId="af">
    <w:name w:val="footnote text"/>
    <w:basedOn w:val="a"/>
    <w:link w:val="af0"/>
    <w:uiPriority w:val="99"/>
    <w:semiHidden/>
    <w:unhideWhenUsed/>
    <w:qFormat/>
    <w:pPr>
      <w:spacing w:after="40"/>
    </w:pPr>
    <w:rPr>
      <w:sz w:val="18"/>
    </w:rPr>
  </w:style>
  <w:style w:type="paragraph" w:styleId="TOC6">
    <w:name w:val="toc 6"/>
    <w:basedOn w:val="a"/>
    <w:next w:val="a"/>
    <w:uiPriority w:val="39"/>
    <w:unhideWhenUsed/>
    <w:qFormat/>
    <w:pPr>
      <w:spacing w:after="57"/>
      <w:ind w:left="1417"/>
    </w:pPr>
  </w:style>
  <w:style w:type="paragraph" w:styleId="TOC2">
    <w:name w:val="toc 2"/>
    <w:basedOn w:val="a"/>
    <w:next w:val="a"/>
    <w:uiPriority w:val="39"/>
    <w:unhideWhenUsed/>
    <w:qFormat/>
    <w:pPr>
      <w:spacing w:after="57"/>
      <w:ind w:left="283"/>
    </w:pPr>
  </w:style>
  <w:style w:type="paragraph" w:styleId="TOC9">
    <w:name w:val="toc 9"/>
    <w:basedOn w:val="a"/>
    <w:next w:val="a"/>
    <w:uiPriority w:val="39"/>
    <w:unhideWhenUsed/>
    <w:qFormat/>
    <w:pPr>
      <w:spacing w:after="57"/>
      <w:ind w:left="2268"/>
    </w:pPr>
  </w:style>
  <w:style w:type="paragraph" w:styleId="af1">
    <w:name w:val="Normal (Web)"/>
    <w:basedOn w:val="a"/>
    <w:uiPriority w:val="99"/>
    <w:unhideWhenUsed/>
    <w:qFormat/>
    <w:pPr>
      <w:widowControl/>
      <w:spacing w:before="100" w:beforeAutospacing="1" w:after="100" w:afterAutospacing="1"/>
      <w:jc w:val="left"/>
    </w:pPr>
    <w:rPr>
      <w:rFonts w:ascii="宋体" w:hAnsi="宋体" w:cs="宋体"/>
      <w:sz w:val="24"/>
      <w:szCs w:val="24"/>
    </w:rPr>
  </w:style>
  <w:style w:type="paragraph" w:styleId="af2">
    <w:name w:val="Title"/>
    <w:basedOn w:val="a"/>
    <w:next w:val="a"/>
    <w:link w:val="af3"/>
    <w:uiPriority w:val="10"/>
    <w:qFormat/>
    <w:pPr>
      <w:spacing w:before="300" w:after="200"/>
      <w:contextualSpacing/>
    </w:pPr>
    <w:rPr>
      <w:sz w:val="48"/>
      <w:szCs w:val="48"/>
    </w:rPr>
  </w:style>
  <w:style w:type="paragraph" w:styleId="af4">
    <w:name w:val="annotation subject"/>
    <w:basedOn w:val="a3"/>
    <w:next w:val="a3"/>
    <w:link w:val="af5"/>
    <w:uiPriority w:val="99"/>
    <w:unhideWhenUsed/>
    <w:qFormat/>
    <w:rPr>
      <w:b/>
      <w:bCs/>
    </w:rPr>
  </w:style>
  <w:style w:type="table" w:styleId="af6">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af7">
    <w:name w:val="Strong"/>
    <w:basedOn w:val="a0"/>
    <w:uiPriority w:val="22"/>
    <w:qFormat/>
    <w:rPr>
      <w:b/>
      <w:bCs/>
    </w:rPr>
  </w:style>
  <w:style w:type="character" w:styleId="af8">
    <w:name w:val="FollowedHyperlink"/>
    <w:basedOn w:val="a0"/>
    <w:uiPriority w:val="99"/>
    <w:semiHidden/>
    <w:unhideWhenUsed/>
    <w:qFormat/>
    <w:rPr>
      <w:color w:val="800080" w:themeColor="followedHyperlink"/>
      <w:u w:val="single"/>
    </w:rPr>
  </w:style>
  <w:style w:type="character" w:styleId="af9">
    <w:name w:val="Hyperlink"/>
    <w:basedOn w:val="a0"/>
    <w:uiPriority w:val="99"/>
    <w:unhideWhenUsed/>
    <w:qFormat/>
    <w:rPr>
      <w:color w:val="0000FF" w:themeColor="hyperlink"/>
      <w:u w:val="single"/>
    </w:rPr>
  </w:style>
  <w:style w:type="character" w:styleId="afa">
    <w:name w:val="annotation reference"/>
    <w:basedOn w:val="a0"/>
    <w:unhideWhenUsed/>
    <w:qFormat/>
    <w:rPr>
      <w:sz w:val="21"/>
      <w:szCs w:val="21"/>
    </w:rPr>
  </w:style>
  <w:style w:type="character" w:styleId="afb">
    <w:name w:val="footnote reference"/>
    <w:basedOn w:val="a0"/>
    <w:uiPriority w:val="99"/>
    <w:unhideWhenUsed/>
    <w:qFormat/>
    <w:rPr>
      <w:vertAlign w:val="superscript"/>
    </w:rPr>
  </w:style>
  <w:style w:type="paragraph" w:styleId="afc">
    <w:name w:val="List Paragraph"/>
    <w:basedOn w:val="a"/>
    <w:uiPriority w:val="34"/>
    <w:qFormat/>
    <w:pPr>
      <w:ind w:left="720"/>
      <w:contextualSpacing/>
    </w:pPr>
  </w:style>
  <w:style w:type="paragraph" w:styleId="afd">
    <w:name w:val="No Spacing"/>
    <w:uiPriority w:val="1"/>
    <w:qFormat/>
    <w:rPr>
      <w:szCs w:val="22"/>
    </w:rPr>
  </w:style>
  <w:style w:type="character" w:customStyle="1" w:styleId="af3">
    <w:name w:val="标题 字符"/>
    <w:basedOn w:val="a0"/>
    <w:link w:val="af2"/>
    <w:uiPriority w:val="10"/>
    <w:qFormat/>
    <w:rPr>
      <w:sz w:val="48"/>
      <w:szCs w:val="48"/>
    </w:rPr>
  </w:style>
  <w:style w:type="character" w:customStyle="1" w:styleId="ae">
    <w:name w:val="副标题 字符"/>
    <w:basedOn w:val="a0"/>
    <w:link w:val="ad"/>
    <w:uiPriority w:val="11"/>
    <w:qFormat/>
    <w:rPr>
      <w:sz w:val="24"/>
      <w:szCs w:val="24"/>
    </w:rPr>
  </w:style>
  <w:style w:type="paragraph" w:styleId="afe">
    <w:name w:val="Quote"/>
    <w:basedOn w:val="a"/>
    <w:next w:val="a"/>
    <w:link w:val="aff"/>
    <w:uiPriority w:val="29"/>
    <w:qFormat/>
    <w:pPr>
      <w:ind w:left="720" w:right="720"/>
    </w:pPr>
    <w:rPr>
      <w:i/>
    </w:rPr>
  </w:style>
  <w:style w:type="character" w:customStyle="1" w:styleId="aff">
    <w:name w:val="引用 字符"/>
    <w:link w:val="afe"/>
    <w:uiPriority w:val="29"/>
    <w:rPr>
      <w:i/>
    </w:rPr>
  </w:style>
  <w:style w:type="paragraph" w:styleId="aff0">
    <w:name w:val="Intense Quote"/>
    <w:basedOn w:val="a"/>
    <w:next w:val="a"/>
    <w:link w:val="aff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1">
    <w:name w:val="明显引用 字符"/>
    <w:link w:val="aff0"/>
    <w:uiPriority w:val="30"/>
    <w:qFormat/>
    <w:rPr>
      <w:i/>
    </w:rPr>
  </w:style>
  <w:style w:type="table" w:customStyle="1" w:styleId="11">
    <w:name w:val="无格式表格 11"/>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auto" w:fill="F2F2F2" w:themeFill="text1" w:themeFillTint="0D"/>
      </w:tcPr>
    </w:tblStylePr>
    <w:tblStylePr w:type="band2Vert">
      <w:pPr>
        <w:snapToGrid/>
      </w:pPr>
    </w:tblStylePr>
    <w:tblStylePr w:type="band1Horz">
      <w:pPr>
        <w:snapToGrid/>
      </w:p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
    <w:name w:val="无格式表格 21"/>
    <w:basedOn w:val="a1"/>
    <w:uiPriority w:val="59"/>
    <w:qFormat/>
    <w:tblPr>
      <w:tblBorders>
        <w:top w:val="single" w:sz="4" w:space="0" w:color="000000" w:themeColor="text1"/>
        <w:bottom w:val="single" w:sz="4" w:space="0" w:color="000000" w:themeColor="text1"/>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
    <w:name w:val="无格式表格 31"/>
    <w:basedOn w:val="a1"/>
    <w:uiPriority w:val="99"/>
    <w:qFormat/>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
    <w:name w:val="无格式表格 41"/>
    <w:basedOn w:val="a1"/>
    <w:uiPriority w:val="99"/>
    <w:qFormat/>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
    <w:name w:val="无格式表格 51"/>
    <w:basedOn w:val="a1"/>
    <w:uiPriority w:val="99"/>
    <w:qFormat/>
    <w:tblPr/>
    <w:tblStylePr w:type="firstRow">
      <w:pPr>
        <w:snapToGrid/>
      </w:pPr>
      <w:rPr>
        <w:i/>
        <w:color w:val="404040"/>
      </w:rPr>
      <w:tblPr/>
      <w:tcPr>
        <w:tcBorders>
          <w:left w:val="nil"/>
          <w:bottom w:val="single" w:sz="4" w:space="0" w:color="404040"/>
          <w:right w:val="nil"/>
        </w:tcBorders>
        <w:shd w:val="clear" w:color="auto" w:fill="FFFFFF"/>
      </w:tcPr>
    </w:tblStylePr>
    <w:tblStylePr w:type="lastRow">
      <w:pPr>
        <w:snapToGrid/>
      </w:pPr>
      <w:rPr>
        <w:i/>
        <w:color w:val="404040"/>
      </w:rPr>
      <w:tblPr/>
      <w:tcPr>
        <w:tcBorders>
          <w:top w:val="single" w:sz="4" w:space="0" w:color="404040"/>
          <w:left w:val="nil"/>
          <w:right w:val="nil"/>
        </w:tcBorders>
        <w:shd w:val="clear" w:color="auto" w:fill="FFFFFF"/>
      </w:tcPr>
    </w:tblStylePr>
    <w:tblStylePr w:type="firstCol">
      <w:pPr>
        <w:snapToGrid/>
        <w:jc w:val="right"/>
      </w:pPr>
      <w:rPr>
        <w:i/>
        <w:color w:val="404040"/>
      </w:rPr>
      <w:tblPr/>
      <w:tcPr>
        <w:tcBorders>
          <w:right w:val="single" w:sz="4" w:space="0" w:color="404040"/>
        </w:tcBorders>
        <w:shd w:val="clear" w:color="auto" w:fill="FFFFFF"/>
      </w:tcPr>
    </w:tblStylePr>
    <w:tblStylePr w:type="lastCol">
      <w:pPr>
        <w:snapToGrid/>
      </w:pPr>
      <w:rPr>
        <w:i/>
        <w:color w:val="404040"/>
      </w:rPr>
      <w:tblPr/>
      <w:tcPr>
        <w:tcBorders>
          <w:left w:val="single" w:sz="4" w:space="0" w:color="404040"/>
        </w:tcBorders>
        <w:shd w:val="clear" w:color="auto" w:fill="FFFFFF"/>
      </w:tc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0">
    <w:name w:val="网格表 1 浅色1"/>
    <w:basedOn w:val="a1"/>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0">
    <w:name w:val="网格表 2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single" w:sz="12" w:space="0" w:color="6A6A6A" w:themeColor="text1" w:themeTint="95"/>
          <w:right w:val="nil"/>
        </w:tcBorders>
        <w:shd w:val="clear" w:color="auto"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0">
    <w:name w:val="网格表 3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0">
    <w:name w:val="网格表 41"/>
    <w:basedOn w:val="a1"/>
    <w:uiPriority w:val="59"/>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0">
    <w:name w:val="网格表 5 深色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auto" w:fill="000000" w:themeFill="text1"/>
      </w:tcPr>
    </w:tblStylePr>
    <w:tblStylePr w:type="firstCol">
      <w:pPr>
        <w:snapToGrid/>
      </w:pPr>
      <w:rPr>
        <w:rFonts w:ascii="Arial" w:hAnsi="Arial"/>
        <w:b/>
        <w:color w:val="FFFFFF"/>
        <w:sz w:val="22"/>
      </w:rPr>
      <w:tblPr/>
      <w:tcPr>
        <w:shd w:val="clear" w:color="auto" w:fill="000000" w:themeFill="text1"/>
      </w:tcPr>
    </w:tblStylePr>
    <w:tblStylePr w:type="lastCol">
      <w:pPr>
        <w:snapToGrid/>
      </w:pPr>
      <w:rPr>
        <w:rFonts w:ascii="Arial" w:hAnsi="Arial"/>
        <w:b/>
        <w:color w:val="FFFFFF"/>
        <w:sz w:val="22"/>
      </w:rPr>
      <w:tblPr/>
      <w:tcPr>
        <w:shd w:val="clear" w:color="auto" w:fill="000000" w:themeFill="text1"/>
      </w:tcPr>
    </w:tblStylePr>
    <w:tblStylePr w:type="band1Vert">
      <w:pPr>
        <w:snapToGrid/>
      </w:pPr>
      <w:tblPr/>
      <w:tcPr>
        <w:shd w:val="clear" w:color="auto" w:fill="8A8A8A" w:themeFill="text1" w:themeFillTint="75"/>
      </w:tcPr>
    </w:tblStylePr>
    <w:tblStylePr w:type="band2Vert">
      <w:pPr>
        <w:snapToGrid/>
      </w:pPr>
    </w:tblStylePr>
    <w:tblStylePr w:type="band1Horz">
      <w:pPr>
        <w:snapToGrid/>
      </w:pPr>
      <w:tblPr/>
      <w:tcPr>
        <w:shd w:val="clear" w:color="auto"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
    <w:name w:val="网格表 6 彩色1"/>
    <w:basedOn w:val="a1"/>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rPr>
      <w:tblPr/>
      <w:tcPr>
        <w:tcBorders>
          <w:bottom w:val="single" w:sz="12" w:space="0" w:color="7F7F7F" w:themeColor="text1" w:themeTint="80"/>
        </w:tcBorders>
      </w:tcPr>
    </w:tblStylePr>
    <w:tblStylePr w:type="lastRow">
      <w:pPr>
        <w:snapToGrid/>
      </w:pPr>
      <w:rPr>
        <w:b/>
        <w:color w:val="7F7F7F" w:themeColor="text1" w:themeTint="80"/>
      </w:rPr>
    </w:tblStylePr>
    <w:tblStylePr w:type="firstCol">
      <w:pPr>
        <w:snapToGrid/>
      </w:pPr>
      <w:rPr>
        <w:b/>
        <w:color w:val="7F7F7F" w:themeColor="text1" w:themeTint="80"/>
      </w:rPr>
    </w:tblStylePr>
    <w:tblStylePr w:type="lastCol">
      <w:pPr>
        <w:snapToGrid/>
      </w:pPr>
      <w:rPr>
        <w:b/>
        <w:color w:val="7F7F7F" w:themeColor="text1" w:themeTint="80"/>
      </w:rPr>
    </w:tblStylePr>
    <w:tblStylePr w:type="band1Vert">
      <w:pPr>
        <w:snapToGrid/>
      </w:pPr>
      <w:tblPr/>
      <w:tcPr>
        <w:shd w:val="clear" w:color="auto" w:fill="CBCBCB" w:themeFill="text1" w:themeFillTint="34"/>
      </w:tcPr>
    </w:tblStylePr>
    <w:tblStylePr w:type="band2Vert">
      <w:pPr>
        <w:snapToGrid/>
      </w:pPr>
    </w:tblStylePr>
    <w:tblStylePr w:type="band1Horz">
      <w:pPr>
        <w:snapToGrid/>
      </w:pPr>
      <w:rPr>
        <w:rFonts w:ascii="Arial" w:hAnsi="Arial"/>
        <w:color w:val="7F7F7F" w:themeColor="text1" w:themeTint="80"/>
        <w:sz w:val="22"/>
      </w:rPr>
      <w:tblPr/>
      <w:tcPr>
        <w:shd w:val="clear" w:color="auto" w:fill="CBCBCB" w:themeFill="text1" w:themeFillTint="34"/>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
    <w:name w:val="网格表 7 彩色1"/>
    <w:basedOn w:val="a1"/>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pPr>
        <w:snapToGrid/>
      </w:pPr>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snapToGrid/>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pPr>
        <w:snapToGrid/>
      </w:pPr>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pPr>
        <w:snapToGrid/>
      </w:pPr>
      <w:tblPr/>
      <w:tcPr>
        <w:shd w:val="clear" w:color="auto" w:fill="F2F2F2" w:themeFill="text1" w:themeFillTint="0D"/>
      </w:tcPr>
    </w:tblStylePr>
    <w:tblStylePr w:type="band2Vert">
      <w:pPr>
        <w:snapToGrid/>
      </w:pPr>
    </w:tblStylePr>
    <w:tblStylePr w:type="band1Horz">
      <w:pPr>
        <w:snapToGrid/>
      </w:pPr>
      <w:rPr>
        <w:rFonts w:ascii="Arial" w:hAnsi="Arial"/>
        <w:color w:val="7F7F7F" w:themeColor="text1" w:themeTint="80"/>
        <w:sz w:val="22"/>
      </w:rPr>
      <w:tblPr/>
      <w:tcPr>
        <w:shd w:val="clear" w:color="auto" w:fill="F2F2F2" w:themeFill="text1" w:themeFillTint="0D"/>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
    <w:name w:val="清单表 1 浅色1"/>
    <w:basedOn w:val="a1"/>
    <w:uiPriority w:val="99"/>
    <w:qFormat/>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
    <w:name w:val="清单表 21"/>
    <w:basedOn w:val="a1"/>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
    <w:name w:val="清单表 3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
    <w:name w:val="清单表 4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
    <w:name w:val="清单表 5 深色1"/>
    <w:basedOn w:val="a1"/>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auto"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0">
    <w:name w:val="清单表 6 彩色1"/>
    <w:basedOn w:val="a1"/>
    <w:uiPriority w:val="99"/>
    <w:qFormat/>
    <w:tblPr>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auto"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0">
    <w:name w:val="清单表 7 彩色1"/>
    <w:basedOn w:val="a1"/>
    <w:uiPriority w:val="99"/>
    <w:qFormat/>
    <w:tblPr>
      <w:tblBorders>
        <w:right w:val="single" w:sz="4" w:space="0" w:color="7F7F7F" w:themeColor="text1" w:themeTint="80"/>
      </w:tblBorders>
    </w:tblPr>
    <w:tblStylePr w:type="firstRow">
      <w:pPr>
        <w:snapToGrid/>
      </w:pPr>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pPr>
        <w:snapToGrid/>
      </w:pPr>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snapToGrid/>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pPr>
        <w:snapToGrid/>
      </w:pPr>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7F7F7F" w:themeColor="text1" w:themeTint="80"/>
        <w:sz w:val="22"/>
      </w:rPr>
      <w:tblPr/>
      <w:tcPr>
        <w:shd w:val="clear" w:color="auto" w:fill="BFBFBF" w:themeFill="text1" w:themeFillTint="40"/>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af0">
    <w:name w:val="脚注文本 字符"/>
    <w:link w:val="af"/>
    <w:uiPriority w:val="99"/>
    <w:qFormat/>
    <w:rPr>
      <w:sz w:val="18"/>
    </w:rPr>
  </w:style>
  <w:style w:type="paragraph" w:customStyle="1" w:styleId="TOC10">
    <w:name w:val="TOC 标题1"/>
    <w:uiPriority w:val="39"/>
    <w:unhideWhenUsed/>
    <w:qFormat/>
    <w:rPr>
      <w:szCs w:val="22"/>
    </w:rPr>
  </w:style>
  <w:style w:type="paragraph" w:customStyle="1" w:styleId="112">
    <w:name w:val="标题 11"/>
    <w:basedOn w:val="a"/>
    <w:next w:val="a"/>
    <w:link w:val="1Char"/>
    <w:uiPriority w:val="9"/>
    <w:qFormat/>
    <w:pPr>
      <w:widowControl/>
      <w:spacing w:before="100" w:beforeAutospacing="1" w:after="100" w:afterAutospacing="1"/>
      <w:jc w:val="left"/>
      <w:outlineLvl w:val="0"/>
    </w:pPr>
    <w:rPr>
      <w:rFonts w:ascii="宋体" w:hAnsi="宋体" w:cs="宋体"/>
      <w:b/>
      <w:bCs/>
      <w:sz w:val="48"/>
      <w:szCs w:val="48"/>
    </w:rPr>
  </w:style>
  <w:style w:type="paragraph" w:customStyle="1" w:styleId="1">
    <w:name w:val="页脚1"/>
    <w:basedOn w:val="a"/>
    <w:link w:val="Char"/>
    <w:uiPriority w:val="99"/>
    <w:unhideWhenUsed/>
    <w:qFormat/>
    <w:pPr>
      <w:tabs>
        <w:tab w:val="center" w:pos="4153"/>
        <w:tab w:val="right" w:pos="8306"/>
      </w:tabs>
      <w:snapToGrid w:val="0"/>
      <w:jc w:val="left"/>
    </w:pPr>
    <w:rPr>
      <w:sz w:val="18"/>
      <w:szCs w:val="18"/>
    </w:rPr>
  </w:style>
  <w:style w:type="character" w:customStyle="1" w:styleId="1Char">
    <w:name w:val="标题 1 Char"/>
    <w:basedOn w:val="a0"/>
    <w:link w:val="112"/>
    <w:uiPriority w:val="9"/>
    <w:qFormat/>
    <w:rPr>
      <w:rFonts w:ascii="宋体" w:eastAsia="宋体" w:hAnsi="宋体" w:cs="宋体"/>
      <w:b/>
      <w:bCs/>
      <w:sz w:val="48"/>
      <w:szCs w:val="48"/>
    </w:rPr>
  </w:style>
  <w:style w:type="character" w:customStyle="1" w:styleId="Char">
    <w:name w:val="页脚 Char"/>
    <w:basedOn w:val="a0"/>
    <w:link w:val="1"/>
    <w:uiPriority w:val="99"/>
    <w:qFormat/>
    <w:rPr>
      <w:sz w:val="18"/>
      <w:szCs w:val="18"/>
    </w:rPr>
  </w:style>
  <w:style w:type="paragraph" w:customStyle="1" w:styleId="TOC11">
    <w:name w:val="TOC 标题11"/>
    <w:basedOn w:val="112"/>
    <w:next w:val="a"/>
    <w:uiPriority w:val="39"/>
    <w:unhideWhenUsed/>
    <w:qFormat/>
    <w:pPr>
      <w:keepNext/>
      <w:keepLines/>
      <w:spacing w:before="480" w:beforeAutospacing="0" w:after="0" w:afterAutospacing="0" w:line="276" w:lineRule="auto"/>
      <w:outlineLvl w:val="9"/>
    </w:pPr>
    <w:rPr>
      <w:rFonts w:ascii="Cambria" w:hAnsi="Cambria" w:cs="Cambria"/>
      <w:color w:val="365F91" w:themeColor="accent1" w:themeShade="BF"/>
      <w:sz w:val="28"/>
      <w:szCs w:val="28"/>
    </w:rPr>
  </w:style>
  <w:style w:type="character" w:customStyle="1" w:styleId="a8">
    <w:name w:val="批注框文本 字符"/>
    <w:basedOn w:val="a0"/>
    <w:link w:val="a7"/>
    <w:uiPriority w:val="99"/>
    <w:semiHidden/>
    <w:qFormat/>
    <w:rPr>
      <w:sz w:val="18"/>
      <w:szCs w:val="18"/>
    </w:rPr>
  </w:style>
  <w:style w:type="character" w:customStyle="1" w:styleId="a4">
    <w:name w:val="批注文字 字符"/>
    <w:basedOn w:val="a0"/>
    <w:link w:val="a3"/>
    <w:qFormat/>
  </w:style>
  <w:style w:type="character" w:customStyle="1" w:styleId="af5">
    <w:name w:val="批注主题 字符"/>
    <w:basedOn w:val="a4"/>
    <w:link w:val="af4"/>
    <w:uiPriority w:val="99"/>
    <w:semiHidden/>
    <w:qFormat/>
    <w:rPr>
      <w:b/>
      <w:bCs/>
    </w:rPr>
  </w:style>
  <w:style w:type="character" w:customStyle="1" w:styleId="a6">
    <w:name w:val="日期 字符"/>
    <w:basedOn w:val="a0"/>
    <w:link w:val="a5"/>
    <w:uiPriority w:val="99"/>
    <w:semiHidden/>
    <w:qFormat/>
    <w:rPr>
      <w:rFonts w:ascii="Calibri" w:eastAsia="宋体" w:hAnsi="Calibri" w:cs="Calibri"/>
      <w:sz w:val="21"/>
      <w:szCs w:val="22"/>
    </w:rPr>
  </w:style>
  <w:style w:type="paragraph" w:customStyle="1" w:styleId="10">
    <w:name w:val="修订1"/>
    <w:hidden/>
    <w:uiPriority w:val="99"/>
    <w:semiHidden/>
    <w:qFormat/>
    <w:rPr>
      <w:rFonts w:ascii="Calibri" w:hAnsi="Calibri" w:cs="Calibri"/>
      <w:sz w:val="21"/>
      <w:szCs w:val="22"/>
    </w:rPr>
  </w:style>
  <w:style w:type="character" w:customStyle="1" w:styleId="ac">
    <w:name w:val="页眉 字符"/>
    <w:basedOn w:val="a0"/>
    <w:link w:val="ab"/>
    <w:uiPriority w:val="99"/>
    <w:qFormat/>
    <w:rPr>
      <w:rFonts w:ascii="Calibri" w:hAnsi="Calibri" w:cs="Calibri"/>
      <w:sz w:val="18"/>
      <w:szCs w:val="18"/>
    </w:rPr>
  </w:style>
  <w:style w:type="character" w:customStyle="1" w:styleId="aa">
    <w:name w:val="页脚 字符"/>
    <w:basedOn w:val="a0"/>
    <w:link w:val="a9"/>
    <w:uiPriority w:val="99"/>
    <w:qFormat/>
    <w:rPr>
      <w:rFonts w:ascii="Calibri" w:hAnsi="Calibri" w:cs="Calibri"/>
      <w:sz w:val="18"/>
      <w:szCs w:val="18"/>
    </w:rPr>
  </w:style>
  <w:style w:type="character" w:customStyle="1" w:styleId="fontstyle01">
    <w:name w:val="fontstyle01"/>
    <w:basedOn w:val="a0"/>
    <w:rPr>
      <w:rFonts w:ascii="宋体" w:eastAsia="宋体" w:hAnsi="宋体" w:cs="宋体"/>
      <w:color w:val="000000"/>
      <w:sz w:val="24"/>
      <w:szCs w:val="24"/>
    </w:rPr>
  </w:style>
  <w:style w:type="paragraph" w:customStyle="1" w:styleId="2">
    <w:name w:val="修订2"/>
    <w:hidden/>
    <w:uiPriority w:val="99"/>
    <w:semiHidden/>
    <w:qFormat/>
    <w:rPr>
      <w:rFonts w:ascii="Calibri" w:hAnsi="Calibri" w:cs="Calibri"/>
      <w:sz w:val="21"/>
      <w:szCs w:val="22"/>
    </w:rPr>
  </w:style>
  <w:style w:type="paragraph" w:customStyle="1" w:styleId="3">
    <w:name w:val="修订3"/>
    <w:hidden/>
    <w:uiPriority w:val="99"/>
    <w:semiHidden/>
    <w:rPr>
      <w:rFonts w:ascii="Calibri" w:hAnsi="Calibri" w:cs="Calibri"/>
      <w:sz w:val="21"/>
      <w:szCs w:val="22"/>
    </w:rPr>
  </w:style>
  <w:style w:type="paragraph" w:styleId="aff2">
    <w:name w:val="Revision"/>
    <w:hidden/>
    <w:uiPriority w:val="99"/>
    <w:semiHidden/>
    <w:rsid w:val="00E854E7"/>
    <w:rPr>
      <w:rFonts w:ascii="Calibri" w:hAnsi="Calibri" w:cs="Calibr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宋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4710</Words>
  <Characters>26850</Characters>
  <Application>Microsoft Office Word</Application>
  <DocSecurity>0</DocSecurity>
  <Lines>223</Lines>
  <Paragraphs>62</Paragraphs>
  <ScaleCrop>false</ScaleCrop>
  <Company>Microsoft</Company>
  <LinksUpToDate>false</LinksUpToDate>
  <CharactersWithSpaces>31498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chenlj</dc:creator>
  <cp:lastModifiedBy>李雅頔</cp:lastModifiedBy>
  <cp:revision>16</cp:revision>
  <dcterms:created xsi:type="dcterms:W3CDTF">2023-05-10T05:21:00Z</dcterms:created>
  <dcterms:modified xsi:type="dcterms:W3CDTF">2023-10-30T07:26:00Z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4C45475C16264AD584731B47AD71654B</vt:lpwstr>
  </property>
</Properties>
</file>